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20" w:line="276"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ΠΕΡΙΓΡΑΜΜΑ ΜΑΘΗΜΑΤΟΣ</w:t>
      </w:r>
      <w:r w:rsidDel="00000000" w:rsidR="00000000" w:rsidRPr="00000000">
        <w:rPr>
          <w:rtl w:val="0"/>
        </w:rPr>
      </w:r>
    </w:p>
    <w:p w:rsidR="00000000" w:rsidDel="00000000" w:rsidP="00000000" w:rsidRDefault="00000000" w:rsidRPr="00000000" w14:paraId="00000002">
      <w:pPr>
        <w:widowControl w:val="0"/>
        <w:numPr>
          <w:ilvl w:val="0"/>
          <w:numId w:val="7"/>
        </w:numPr>
        <w:spacing w:after="200" w:before="120" w:line="276" w:lineRule="auto"/>
        <w:ind w:left="357" w:hanging="357"/>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ΓΕΝΙΚΑ</w:t>
      </w:r>
      <w:r w:rsidDel="00000000" w:rsidR="00000000" w:rsidRPr="00000000">
        <w:rPr>
          <w:rtl w:val="0"/>
        </w:rPr>
      </w:r>
    </w:p>
    <w:tbl>
      <w:tblPr>
        <w:tblStyle w:val="Table1"/>
        <w:tblW w:w="8556.0" w:type="dxa"/>
        <w:jc w:val="left"/>
        <w:tblLayout w:type="fixed"/>
        <w:tblLook w:val="0000"/>
      </w:tblPr>
      <w:tblGrid>
        <w:gridCol w:w="3205"/>
        <w:gridCol w:w="1135"/>
        <w:gridCol w:w="1297"/>
        <w:gridCol w:w="1208"/>
        <w:gridCol w:w="351"/>
        <w:gridCol w:w="1360"/>
        <w:tblGridChange w:id="0">
          <w:tblGrid>
            <w:gridCol w:w="3205"/>
            <w:gridCol w:w="1135"/>
            <w:gridCol w:w="1297"/>
            <w:gridCol w:w="1208"/>
            <w:gridCol w:w="351"/>
            <w:gridCol w:w="136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3">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ΣΧΟΛΗ</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4">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ΜΟΥΣΙΚΗΣ ΚΑΙ ΟΠΤΙΚΟΑΚΟΥΣΤΙΚΩΝ ΤΕΧΝΩΝ</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9">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ΤΜΗΜΑ</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ΜΟΥΣΙΚΩΝ ΣΠΟΥΔΩΝ</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F">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ΕΠΙΠΕΔΟ ΣΠΟΥΔΩΝ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ΠΡΟΠΤΥΧΙΑΚΟ</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5">
            <w:pPr>
              <w:jc w:val="right"/>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ΚΩΔΙΚΟΣ ΜΑΘΗΜΑΤΟΣ</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6">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MUS407</w:t>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7">
            <w:pPr>
              <w:jc w:val="right"/>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ΕΞΑΜΗΝΟ ΣΠΟΥΔΩΝ</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4</w:t>
            </w:r>
            <w:r w:rsidDel="00000000" w:rsidR="00000000" w:rsidRPr="00000000">
              <w:rPr>
                <w:rFonts w:ascii="Calibri" w:cs="Calibri" w:eastAsia="Calibri" w:hAnsi="Calibri"/>
                <w:sz w:val="20"/>
                <w:szCs w:val="20"/>
                <w:vertAlign w:val="superscript"/>
                <w:rtl w:val="0"/>
              </w:rPr>
              <w:t xml:space="preserve">o</w:t>
            </w: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B">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ΤΙΤΛΟΣ ΜΑΘΗΜΑΤΟΣ</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ΔΙΔΑΚΤΙΚΗ ΜΕΘΟΔΟΛΟΓΙΑ ΤΗΣ ΜΟΥΣΙΚΗΣ </w:t>
            </w:r>
          </w:p>
        </w:tc>
      </w:tr>
      <w:tr>
        <w:trPr>
          <w:cantSplit w:val="0"/>
          <w:trHeight w:val="19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ΑΥΤΟΤΕΛΕΙΣ ΔΙΔΑΚΤΙΚΕΣ ΔΡΑΣΤΗΡΙΟΤΗΤΕΣ</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ΕΒΔΟΜΑΔΙΑΙΕΣ</w:t>
              <w:br w:type="textWrapping"/>
              <w:t xml:space="preserve">ΩΡΕΣ ΔΙΔΑΣΚΑΛΙΑΣ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jc w:val="cente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ΠΙΣΤΩΤΙΚΕΣ ΜΟΝΑΔΕΣ</w:t>
            </w:r>
            <w:r w:rsidDel="00000000" w:rsidR="00000000" w:rsidRPr="00000000">
              <w:rPr>
                <w:rtl w:val="0"/>
              </w:rPr>
            </w:r>
          </w:p>
        </w:tc>
      </w:tr>
      <w:tr>
        <w:trPr>
          <w:cantSplit w:val="0"/>
          <w:trHeight w:val="194" w:hRule="atLeast"/>
          <w:tblHeader w:val="0"/>
        </w:trPr>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7">
            <w:pPr>
              <w:jc w:val="center"/>
              <w:rPr>
                <w:rFonts w:ascii="Calibri" w:cs="Calibri" w:eastAsia="Calibri" w:hAnsi="Calibri"/>
                <w:sz w:val="20"/>
                <w:szCs w:val="2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A">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4</w:t>
            </w:r>
          </w:p>
        </w:tc>
      </w:tr>
      <w:tr>
        <w:trPr>
          <w:cantSplit w:val="0"/>
          <w:trHeight w:val="360"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D">
            <w:pPr>
              <w:jc w:val="right"/>
              <w:rPr>
                <w:rFonts w:ascii="Calibri" w:cs="Calibri" w:eastAsia="Calibri" w:hAnsi="Calibri"/>
                <w:i w:val="0"/>
                <w:sz w:val="20"/>
                <w:szCs w:val="20"/>
                <w:vertAlign w:val="baseline"/>
              </w:rPr>
            </w:pPr>
            <w:r w:rsidDel="00000000" w:rsidR="00000000" w:rsidRPr="00000000">
              <w:rPr>
                <w:rFonts w:ascii="Calibri" w:cs="Calibri" w:eastAsia="Calibri" w:hAnsi="Calibri"/>
                <w:b w:val="1"/>
                <w:sz w:val="20"/>
                <w:szCs w:val="20"/>
                <w:vertAlign w:val="baseline"/>
                <w:rtl w:val="0"/>
              </w:rPr>
              <w:t xml:space="preserve">ΤΥΠΟΣ ΜΑΘΗΜΑΤΟΣ</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Ειδικού υποβάθρου</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3">
            <w:pPr>
              <w:jc w:val="right"/>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ΠΡΟΑΠΑΙΤΟΥΜΕΝΑ ΜΑΘΗΜΑΤΑ:</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rPr>
                <w:rFonts w:ascii="Calibri" w:cs="Calibri" w:eastAsia="Calibri" w:hAnsi="Calibri"/>
                <w:sz w:val="20"/>
                <w:szCs w:val="2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9">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ΓΛΩΣΣΑ ΔΙΔΑΣΚΑΛΙΑΣ και ΕΞΕΤΑΣΕΩΝ:</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Ελληνική</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F">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ΤΟ ΜΑΘΗΜΑ ΠΡΟΣΦΕΡΕΤΑΙ ΣΕ ΦΟΙΤΗΤΕΣ ERASMUS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Ναι, στα Αγγλικά</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5">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ΗΛΕΚΤΡΟΝΙΚΗ ΣΕΛΙΔΑ ΜΑΘΗΜΑΤΟΣ (URL)</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spacing w:after="200" w:line="276" w:lineRule="auto"/>
              <w:rPr>
                <w:rFonts w:ascii="Calibri" w:cs="Calibri" w:eastAsia="Calibri" w:hAnsi="Calibri"/>
                <w:sz w:val="20"/>
                <w:szCs w:val="20"/>
                <w:vertAlign w:val="baseline"/>
              </w:rPr>
            </w:pPr>
            <w:hyperlink r:id="rId7">
              <w:r w:rsidDel="00000000" w:rsidR="00000000" w:rsidRPr="00000000">
                <w:rPr>
                  <w:rFonts w:ascii="Calibri" w:cs="Calibri" w:eastAsia="Calibri" w:hAnsi="Calibri"/>
                  <w:color w:val="000000"/>
                  <w:sz w:val="20"/>
                  <w:szCs w:val="20"/>
                  <w:u w:val="single"/>
                  <w:vertAlign w:val="baseline"/>
                  <w:rtl w:val="0"/>
                </w:rPr>
                <w:t xml:space="preserve">https://opencourses.ionio.gr/modules/course_description/?course=DMS143</w:t>
              </w:r>
            </w:hyperlink>
            <w:r w:rsidDel="00000000" w:rsidR="00000000" w:rsidRPr="00000000">
              <w:rPr>
                <w:rFonts w:ascii="Calibri" w:cs="Calibri" w:eastAsia="Calibri" w:hAnsi="Calibri"/>
                <w:sz w:val="20"/>
                <w:szCs w:val="20"/>
                <w:vertAlign w:val="baseline"/>
                <w:rtl w:val="0"/>
              </w:rPr>
              <w:t xml:space="preserve"> </w:t>
            </w:r>
          </w:p>
        </w:tc>
      </w:tr>
    </w:tbl>
    <w:p w:rsidR="00000000" w:rsidDel="00000000" w:rsidP="00000000" w:rsidRDefault="00000000" w:rsidRPr="00000000" w14:paraId="0000004B">
      <w:pPr>
        <w:widowControl w:val="0"/>
        <w:numPr>
          <w:ilvl w:val="0"/>
          <w:numId w:val="7"/>
        </w:numPr>
        <w:spacing w:after="200" w:before="240" w:line="276" w:lineRule="auto"/>
        <w:ind w:left="357" w:hanging="357"/>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ΜΑΘΗΣΙΑΚΑ ΑΠΟΤΕΛΕΣΜΑΤΑ</w:t>
      </w:r>
      <w:r w:rsidDel="00000000" w:rsidR="00000000" w:rsidRPr="00000000">
        <w:rPr>
          <w:rtl w:val="0"/>
        </w:rPr>
      </w:r>
    </w:p>
    <w:tbl>
      <w:tblPr>
        <w:tblStyle w:val="Table2"/>
        <w:tblW w:w="8592.0" w:type="dxa"/>
        <w:jc w:val="left"/>
        <w:tblInd w:w="-168.0" w:type="dxa"/>
        <w:tblLayout w:type="fixed"/>
        <w:tblLook w:val="0000"/>
      </w:tblPr>
      <w:tblGrid>
        <w:gridCol w:w="8592"/>
        <w:tblGridChange w:id="0">
          <w:tblGrid>
            <w:gridCol w:w="8592"/>
          </w:tblGrid>
        </w:tblGridChange>
      </w:tblGrid>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4C">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Μαθησιακά Αποτελέσματα</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tabs>
                <w:tab w:val="left" w:leader="none" w:pos="354"/>
              </w:tabs>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Στο μάθημα «Διδακτική Μεθοδολογία της Μουσικής» γίνεται μία ιστορική ανασκόπηση της μουσικής παιδαγωγικής, δίνοντας έμφαση σε σημαντικούς μουσικοπαιδαγωγούς και μουσικοπαιδαγωγικά συστήματα του 20</w:t>
            </w:r>
            <w:r w:rsidDel="00000000" w:rsidR="00000000" w:rsidRPr="00000000">
              <w:rPr>
                <w:rFonts w:ascii="Calibri" w:cs="Calibri" w:eastAsia="Calibri" w:hAnsi="Calibri"/>
                <w:sz w:val="20"/>
                <w:szCs w:val="20"/>
                <w:vertAlign w:val="superscript"/>
                <w:rtl w:val="0"/>
              </w:rPr>
              <w:t xml:space="preserve">ού</w:t>
            </w:r>
            <w:r w:rsidDel="00000000" w:rsidR="00000000" w:rsidRPr="00000000">
              <w:rPr>
                <w:rFonts w:ascii="Calibri" w:cs="Calibri" w:eastAsia="Calibri" w:hAnsi="Calibri"/>
                <w:sz w:val="20"/>
                <w:szCs w:val="20"/>
                <w:vertAlign w:val="baseline"/>
                <w:rtl w:val="0"/>
              </w:rPr>
              <w:t xml:space="preserve"> αιώνα, όπως αυτά των J. Dalcroze, C. Orff, Z. Kodaly, S. Suzuki, μέσα από θεωρίες και πρακτικές εφαρμογές. Γίνεται εισαγωγή στους εκπαιδευτικούς στόχους του μαθήματος της μουσικής, στο πώς ο δάσκαλος επιλέγει τις κατάλληλες εκπαιδευτικές δραστηριότητες που αφορούν ή απαντούν στους συγκεκριμένους εκπαιδευτικούς στόχους που θέτει, πώς συντάσσεται ένα ημερήσιο πλάνο/σχεδιάγραμμα μαθήματος (για μαθήματα μουσικής που αναφέρονται σε όλες τις βαθμίδες εκπαίδευσης). Διδάσκεται φλογέρα (φλάουτο με ράμφος) και γίνεται εξάσκηση των φοιτητών σε τραγούδια με τη φωνή, στη φλογέρα, καθώς και μέσω ενορχηστρώσεων με κρουστά όργανα τάξης (μεταλλόφωνα, ξυλόφωνα, κρουστά όργανα Orff). Το μάθημα περιλαμβάνει πρακτικές δραστηριότητες μουσικής αγωγής - δηλαδή χρήση κίνησης, εκτέλεση μουσικών οργάνων τάξης, τραγούδι, μουσική ακρόαση, σύνθεση και δημιουργική έκφραση, εκμάθηση φλογέρας και εξάσκηση σε ενορχηστρώσεις. Η θεωρητική διάσταση του μαθήματος αφορά στη διαμόρφωση εκπαιδευτικών στόχων για το μάθημα της μουσικής, στο διαχωρισμό τους σε τρεις κατηγορίες (γνωσιολογικούς, ψυχοκινητικούς και συναισθηματικούς, σύμφωνα με την κατηγοριοποίηση του Bloom), στη διερεύνηση παλαιότερων και σύγχρονων προσεγγίσεων στη διδασκαλία της μουσικής, στις βασικές διαστάσεις της επιστήμης της Μουσικής Παιδαγωγικής. </w:t>
            </w:r>
          </w:p>
          <w:p w:rsidR="00000000" w:rsidDel="00000000" w:rsidP="00000000" w:rsidRDefault="00000000" w:rsidRPr="00000000" w14:paraId="0000004E">
            <w:pPr>
              <w:widowControl w:val="0"/>
              <w:tabs>
                <w:tab w:val="left" w:leader="none" w:pos="354"/>
              </w:tabs>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4F">
            <w:pPr>
              <w:widowControl w:val="0"/>
              <w:tabs>
                <w:tab w:val="left" w:leader="none" w:pos="354"/>
              </w:tabs>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Με την επιτυχή ολοκλήρωση του μαθήματος, οι φοιτητές αναμένεται:</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86" w:right="0" w:hanging="284"/>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Να έχουν εξοικειωθεί με την ιστορική κατανόηση των μεθόδων και του πλαισίου διδασκαλίας της μουσικής στον δυτικό πολιτισμό και των ιδεών που κατά καιρούς επικράτησαν.</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86" w:right="0" w:hanging="284"/>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Να είναι σε θέση να διαχωρίσουν και να συνθέσουν πρακτικές εφαρμογές των κυριότερων μουσικοπαιδαγωγών και μουσικοπαιδαγωγικών συστημάτων του 20ού αιώνα (Dalcroze, Orff, Kodaly, Suzuki, κ.ά.).</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86" w:right="0" w:hanging="284"/>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Να διαθέτουν τις απαραίτητες γνώσεις και δεξιότητες για την εφαρμογή αποτελεσματικών προγραμμάτων μουσικής αγωγής σε διάφορες βαθμίδες εκπαίδευσης (Νηπιαγωγείο, Δημοτικό Σχολείο, Γυμνάσιο, Λύκειο) και διάφορα σχολικά και εξωσχολικά μουσικά πλαίσια.</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86" w:right="0" w:hanging="284"/>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Να είναι σε θέση να συνθέσουν μία πορεία μουσικών δραστηριοτήτων για συγκεκριμένη τάξη βασισμένοι σε συγκεκριμένο μουσικό υλικό ή μαθησιακό/ηλικιακό επίπεδο μαθητών.</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86" w:right="0" w:hanging="284"/>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Να είναι σε θέση να προτείνουν στόχους σύμφωνα με τις τρεις κατηγορίες παιδαγωγικής στόχευσης του Bloom (γνωσιολογικούς, ψυχοκινητικούς και συναισθηματικούς) και να οδηγηθούν στις κατάλληλες δραστηριότητες που θα τους εκπληρώσουν.</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86" w:right="0" w:hanging="284"/>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Να μπορούν να ενορχηστρώσουν και να εκτελέσουν μελωδίες ή τραγούδια με κρουστά όργανα τάξης ως ενδεικτικά όργανα αναφοράς στη μουσική αγωγή.</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86" w:right="0" w:hanging="284"/>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Να έχουν αναπτύξει δεξιότητες καλλιτεχνικής έκφρασης της μουσικής, όπως σύνθεση, αυτοσχεδιασμός, ενορχηστρώσεις, τραγούδι, ρυθμική και εκφραστική κίνηση, δημιουργική έκφραση κλπ.</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86" w:right="0" w:hanging="284"/>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Να έχουν αναπτύξει ικανότητες συνεργασίας σε μικρές και μεγάλες ομάδες μέσα από ομαδοσυνεργατικές εργασίες κατά τη μουσική έκφραση.</w:t>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58">
            <w:pPr>
              <w:keepNext w:val="1"/>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Γενικές Ικανότητες</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Αναζήτηση, ανάλυση και σύνθεση δεδομένων και πληροφοριών, με τη χρήση και των απαραίτητων τεχνολογιών </w:t>
            </w:r>
          </w:p>
          <w:p w:rsidR="00000000" w:rsidDel="00000000" w:rsidP="00000000" w:rsidRDefault="00000000" w:rsidRPr="00000000" w14:paraId="0000005A">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Λήψη αποφάσεων </w:t>
            </w:r>
          </w:p>
          <w:p w:rsidR="00000000" w:rsidDel="00000000" w:rsidP="00000000" w:rsidRDefault="00000000" w:rsidRPr="00000000" w14:paraId="0000005B">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Αυτόνομη εργασία </w:t>
            </w:r>
          </w:p>
          <w:p w:rsidR="00000000" w:rsidDel="00000000" w:rsidP="00000000" w:rsidRDefault="00000000" w:rsidRPr="00000000" w14:paraId="0000005C">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Ομαδική εργασία </w:t>
            </w:r>
          </w:p>
          <w:p w:rsidR="00000000" w:rsidDel="00000000" w:rsidP="00000000" w:rsidRDefault="00000000" w:rsidRPr="00000000" w14:paraId="0000005D">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Εργασία σε διεπιστημονικό περιβάλλον </w:t>
            </w:r>
          </w:p>
          <w:p w:rsidR="00000000" w:rsidDel="00000000" w:rsidP="00000000" w:rsidRDefault="00000000" w:rsidRPr="00000000" w14:paraId="0000005E">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Σεβασμός στη διαφορετικότητα και στην πολυπολιτισμικότητα </w:t>
            </w:r>
          </w:p>
          <w:p w:rsidR="00000000" w:rsidDel="00000000" w:rsidP="00000000" w:rsidRDefault="00000000" w:rsidRPr="00000000" w14:paraId="0000005F">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Άσκηση κριτικής και αυτοκριτικής </w:t>
            </w:r>
          </w:p>
          <w:p w:rsidR="00000000" w:rsidDel="00000000" w:rsidP="00000000" w:rsidRDefault="00000000" w:rsidRPr="00000000" w14:paraId="00000060">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Προαγωγή της ελεύθερης, δημιουργικής και επαγωγικής σκέψης</w:t>
            </w:r>
          </w:p>
        </w:tc>
      </w:tr>
    </w:tbl>
    <w:p w:rsidR="00000000" w:rsidDel="00000000" w:rsidP="00000000" w:rsidRDefault="00000000" w:rsidRPr="00000000" w14:paraId="00000061">
      <w:pPr>
        <w:widowControl w:val="0"/>
        <w:numPr>
          <w:ilvl w:val="0"/>
          <w:numId w:val="7"/>
        </w:numPr>
        <w:spacing w:after="200" w:before="240" w:line="276" w:lineRule="auto"/>
        <w:ind w:left="357" w:hanging="357"/>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ΠΕΡΙΕΧΟΜΕΝΟ ΜΑΘΗΜΑΤΟΣ</w:t>
      </w:r>
      <w:r w:rsidDel="00000000" w:rsidR="00000000" w:rsidRPr="00000000">
        <w:rPr>
          <w:rtl w:val="0"/>
        </w:rPr>
      </w:r>
    </w:p>
    <w:tbl>
      <w:tblPr>
        <w:tblStyle w:val="Table3"/>
        <w:tblW w:w="8644.0" w:type="dxa"/>
        <w:jc w:val="left"/>
        <w:tblInd w:w="-223.0" w:type="dxa"/>
        <w:tblLayout w:type="fixed"/>
        <w:tblLook w:val="0000"/>
      </w:tblPr>
      <w:tblGrid>
        <w:gridCol w:w="8644"/>
        <w:tblGridChange w:id="0">
          <w:tblGrid>
            <w:gridCol w:w="86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Οι ενότητες που προσεγγίζονται είναι:</w:t>
            </w:r>
          </w:p>
          <w:p w:rsidR="00000000" w:rsidDel="00000000" w:rsidP="00000000" w:rsidRDefault="00000000" w:rsidRPr="00000000" w14:paraId="00000063">
            <w:pPr>
              <w:numPr>
                <w:ilvl w:val="0"/>
                <w:numId w:val="2"/>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Η σημασία της μουσικής αγωγής στην ανάπτυξη του παιδιού, μουσική αγωγή εντός και εκτός του σχολείου, σκοποί και στόχοι της μουσικής αγωγής, μουσικές δραστηριότητες, διαχωρισμός στόχων σε γνωσιολογικούς, ψυχοκινητικούς, συναισθηματικούς (κατηγοριοποίηση Bloom).</w:t>
            </w:r>
          </w:p>
          <w:p w:rsidR="00000000" w:rsidDel="00000000" w:rsidP="00000000" w:rsidRDefault="00000000" w:rsidRPr="00000000" w14:paraId="00000064">
            <w:pPr>
              <w:numPr>
                <w:ilvl w:val="0"/>
                <w:numId w:val="2"/>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Ιστορία της μουσικής αγωγής στο δυτικό πολιτισμό και των ιδεών που κατά καιρούς επικράτησαν. Σημαντικοί μουσικοπαιδαγωγοί και τάσεις (J.J. Rousseau, J. Curwen, Y. Trotter, E. Jacques-Dalcroze, J. Ward, S. Colleman, Z. Kodaly, C. Orff, S. Suzuki, John Paynter, Keith Swanwick, κλπ.). Στοιχεία της ιστορίας της μουσικής εκπαίδευσης στην Ελλάδα.</w:t>
            </w:r>
          </w:p>
          <w:p w:rsidR="00000000" w:rsidDel="00000000" w:rsidP="00000000" w:rsidRDefault="00000000" w:rsidRPr="00000000" w14:paraId="00000065">
            <w:pPr>
              <w:numPr>
                <w:ilvl w:val="0"/>
                <w:numId w:val="2"/>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Emile Jacques-Dalcroze: φιλοσοφία και πρακτικές εφαρμογές.</w:t>
            </w:r>
          </w:p>
          <w:p w:rsidR="00000000" w:rsidDel="00000000" w:rsidP="00000000" w:rsidRDefault="00000000" w:rsidRPr="00000000" w14:paraId="00000066">
            <w:pPr>
              <w:numPr>
                <w:ilvl w:val="0"/>
                <w:numId w:val="2"/>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Zoltan Kodaly: φιλοσοφία και πρακτικές εφαρμογές. Κινητό ντο, ρυθμικές συλλαβές, χειροσύμβολα.</w:t>
            </w:r>
          </w:p>
          <w:p w:rsidR="00000000" w:rsidDel="00000000" w:rsidP="00000000" w:rsidRDefault="00000000" w:rsidRPr="00000000" w14:paraId="00000067">
            <w:pPr>
              <w:numPr>
                <w:ilvl w:val="0"/>
                <w:numId w:val="2"/>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Carl Orff: φιλοσοφία και πρακτικές εφαρμογές. Ενορχηστρώσεις Orff. Τονικά και μη τονικά κρουστά όργανα τάξης.</w:t>
            </w:r>
          </w:p>
          <w:p w:rsidR="00000000" w:rsidDel="00000000" w:rsidP="00000000" w:rsidRDefault="00000000" w:rsidRPr="00000000" w14:paraId="00000068">
            <w:pPr>
              <w:numPr>
                <w:ilvl w:val="0"/>
                <w:numId w:val="2"/>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Shinichi Suzuki: φιλοσοφία και πρακτικές εφαρμογές. Η άτυπη μάθηση στη μουσική.</w:t>
            </w:r>
          </w:p>
          <w:p w:rsidR="00000000" w:rsidDel="00000000" w:rsidP="00000000" w:rsidRDefault="00000000" w:rsidRPr="00000000" w14:paraId="00000069">
            <w:pPr>
              <w:numPr>
                <w:ilvl w:val="0"/>
                <w:numId w:val="2"/>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Παραδοσιακά και σύγχρονα μουσικά παιχνίδια. Μουσικοί και παιδαγωγικοί στόχοι κατά την επιτέλεση μουσικών παιχνιδιών. Η παιδική κουλτούρα. Ιδέες για αξιοποίηση των μουσικών παιχνιδιών στο μάθημα της μουσικής. Πολυτροπικότητα και επικοινωνιακή μουσικότητα κατά την επιτέλεση των μουσικών παιχνιδιών.</w:t>
            </w:r>
          </w:p>
          <w:p w:rsidR="00000000" w:rsidDel="00000000" w:rsidP="00000000" w:rsidRDefault="00000000" w:rsidRPr="00000000" w14:paraId="0000006A">
            <w:pPr>
              <w:numPr>
                <w:ilvl w:val="0"/>
                <w:numId w:val="2"/>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Δημιουργικότητα - Διαθεματικότητα - Διαπολιτισμικότητα ως βασικές αρχές στο σχεδιασμό μαθημάτων μουσικής αγωγής. </w:t>
            </w:r>
          </w:p>
          <w:p w:rsidR="00000000" w:rsidDel="00000000" w:rsidP="00000000" w:rsidRDefault="00000000" w:rsidRPr="00000000" w14:paraId="0000006B">
            <w:pPr>
              <w:numPr>
                <w:ilvl w:val="0"/>
                <w:numId w:val="2"/>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Διακαλλιτεχνικότητα και σύνδεση των τεχνών. Τέχνες και αισθητική αγωγή. </w:t>
            </w:r>
          </w:p>
          <w:p w:rsidR="00000000" w:rsidDel="00000000" w:rsidP="00000000" w:rsidRDefault="00000000" w:rsidRPr="00000000" w14:paraId="0000006C">
            <w:pPr>
              <w:numPr>
                <w:ilvl w:val="0"/>
                <w:numId w:val="2"/>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Εκπαιδευτικό υλικό για τη διδασκαλία της μουσικής: αυτοσχέδια μουσικά όργανα, σωματικά κρουστά, γραφικές παρτιτούρες, έργα τέχνης, μουσικά βίντεο, διαδικτυακές μουσικές εφαρμογές, κλπ.</w:t>
            </w:r>
          </w:p>
        </w:tc>
      </w:tr>
    </w:tbl>
    <w:p w:rsidR="00000000" w:rsidDel="00000000" w:rsidP="00000000" w:rsidRDefault="00000000" w:rsidRPr="00000000" w14:paraId="0000006D">
      <w:pPr>
        <w:keepNext w:val="1"/>
        <w:widowControl w:val="0"/>
        <w:numPr>
          <w:ilvl w:val="0"/>
          <w:numId w:val="7"/>
        </w:numPr>
        <w:spacing w:after="200" w:before="240" w:line="276" w:lineRule="auto"/>
        <w:ind w:left="357" w:hanging="357"/>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ΔΙΔΑΚΤΙΚΕΣ και ΜΑΘΗΣΙΑΚΕΣ ΜΕΘΟΔΟΙ - ΑΞΙΟΛΟΓΗΣΗ</w:t>
      </w:r>
      <w:r w:rsidDel="00000000" w:rsidR="00000000" w:rsidRPr="00000000">
        <w:rPr>
          <w:rtl w:val="0"/>
        </w:rPr>
      </w:r>
    </w:p>
    <w:tbl>
      <w:tblPr>
        <w:tblStyle w:val="Table4"/>
        <w:tblW w:w="8592.0" w:type="dxa"/>
        <w:jc w:val="left"/>
        <w:tblInd w:w="-168.0" w:type="dxa"/>
        <w:tblLayout w:type="fixed"/>
        <w:tblLook w:val="0000"/>
      </w:tblPr>
      <w:tblGrid>
        <w:gridCol w:w="3306"/>
        <w:gridCol w:w="5286"/>
        <w:tblGridChange w:id="0">
          <w:tblGrid>
            <w:gridCol w:w="3306"/>
            <w:gridCol w:w="5286"/>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E">
            <w:pPr>
              <w:jc w:val="right"/>
              <w:rPr>
                <w:rFonts w:ascii="Calibri" w:cs="Calibri" w:eastAsia="Calibri" w:hAnsi="Calibri"/>
                <w:i w:val="0"/>
                <w:sz w:val="20"/>
                <w:szCs w:val="20"/>
                <w:vertAlign w:val="baseline"/>
              </w:rPr>
            </w:pPr>
            <w:r w:rsidDel="00000000" w:rsidR="00000000" w:rsidRPr="00000000">
              <w:rPr>
                <w:rFonts w:ascii="Calibri" w:cs="Calibri" w:eastAsia="Calibri" w:hAnsi="Calibri"/>
                <w:b w:val="1"/>
                <w:sz w:val="20"/>
                <w:szCs w:val="20"/>
                <w:vertAlign w:val="baseline"/>
                <w:rtl w:val="0"/>
              </w:rPr>
              <w:t xml:space="preserve">ΤΡΟΠΟΣ ΠΑΡΑΔΟΣΗΣ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spacing w:after="200" w:line="276"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Πρόσωπο με πρόσωπο</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0">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ΧΡΗΣΗ ΤΕΧΝΟΛΟΓΙΩΝ ΠΛΗΡΟΦΟΡΙΑΣ ΚΑΙ ΕΠΙΚΟΙΝΩΝΙΩΝ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Υποστήριξη μαθησιακής διαδικασίας μέσω της ηλεκτρονικής πλατφόρμας Open Courses </w:t>
            </w:r>
          </w:p>
          <w:p w:rsidR="00000000" w:rsidDel="00000000" w:rsidP="00000000" w:rsidRDefault="00000000" w:rsidRPr="00000000" w14:paraId="00000072">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Χρήση της τεχνολογίας Τ.Π.Ε. στη διδασκαλία, στην εργαστηριακή εκπαίδευση, και στην επικοινωνία με τους φοιτητές</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3">
            <w:pPr>
              <w:jc w:val="right"/>
              <w:rPr>
                <w:rFonts w:ascii="Calibri" w:cs="Calibri" w:eastAsia="Calibri" w:hAnsi="Calibri"/>
                <w:i w:val="0"/>
                <w:sz w:val="20"/>
                <w:szCs w:val="20"/>
                <w:vertAlign w:val="baseline"/>
              </w:rPr>
            </w:pPr>
            <w:r w:rsidDel="00000000" w:rsidR="00000000" w:rsidRPr="00000000">
              <w:rPr>
                <w:rFonts w:ascii="Calibri" w:cs="Calibri" w:eastAsia="Calibri" w:hAnsi="Calibri"/>
                <w:b w:val="1"/>
                <w:sz w:val="20"/>
                <w:szCs w:val="20"/>
                <w:vertAlign w:val="baseline"/>
                <w:rtl w:val="0"/>
              </w:rPr>
              <w:t xml:space="preserve">ΟΡΓΑΝΩΣΗ ΔΙΔΑΣΚΑΛΙΑΣ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z w:val="20"/>
                <w:szCs w:val="20"/>
                <w:vertAlign w:val="baseline"/>
              </w:rPr>
            </w:pPr>
            <w:r w:rsidDel="00000000" w:rsidR="00000000" w:rsidRPr="00000000">
              <w:rPr>
                <w:rtl w:val="0"/>
              </w:rPr>
            </w:r>
          </w:p>
          <w:tbl>
            <w:tblPr>
              <w:tblStyle w:val="Table5"/>
              <w:tblW w:w="5055.0" w:type="dxa"/>
              <w:jc w:val="left"/>
              <w:tblLayout w:type="fixed"/>
              <w:tblLook w:val="0000"/>
            </w:tblPr>
            <w:tblGrid>
              <w:gridCol w:w="2467"/>
              <w:gridCol w:w="2588"/>
              <w:tblGridChange w:id="0">
                <w:tblGrid>
                  <w:gridCol w:w="2467"/>
                  <w:gridCol w:w="2588"/>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5">
                  <w:pPr>
                    <w:jc w:val="center"/>
                    <w:rPr>
                      <w:rFonts w:ascii="Calibri" w:cs="Calibri" w:eastAsia="Calibri" w:hAnsi="Calibri"/>
                      <w:b w:val="0"/>
                      <w:i w:val="0"/>
                      <w:sz w:val="20"/>
                      <w:szCs w:val="20"/>
                      <w:vertAlign w:val="baseline"/>
                    </w:rPr>
                  </w:pPr>
                  <w:r w:rsidDel="00000000" w:rsidR="00000000" w:rsidRPr="00000000">
                    <w:rPr>
                      <w:rFonts w:ascii="Calibri" w:cs="Calibri" w:eastAsia="Calibri" w:hAnsi="Calibri"/>
                      <w:b w:val="1"/>
                      <w:i w:val="1"/>
                      <w:sz w:val="20"/>
                      <w:szCs w:val="20"/>
                      <w:vertAlign w:val="baseline"/>
                      <w:rtl w:val="0"/>
                    </w:rPr>
                    <w:t xml:space="preserve">Δραστηριότητα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jc w:val="center"/>
                    <w:rPr>
                      <w:rFonts w:ascii="Calibri" w:cs="Calibri" w:eastAsia="Calibri" w:hAnsi="Calibri"/>
                      <w:sz w:val="20"/>
                      <w:szCs w:val="20"/>
                      <w:vertAlign w:val="baseline"/>
                    </w:rPr>
                  </w:pPr>
                  <w:r w:rsidDel="00000000" w:rsidR="00000000" w:rsidRPr="00000000">
                    <w:rPr>
                      <w:rFonts w:ascii="Calibri" w:cs="Calibri" w:eastAsia="Calibri" w:hAnsi="Calibri"/>
                      <w:b w:val="1"/>
                      <w:i w:val="1"/>
                      <w:sz w:val="20"/>
                      <w:szCs w:val="20"/>
                      <w:vertAlign w:val="baseline"/>
                      <w:rtl w:val="0"/>
                    </w:rPr>
                    <w:t xml:space="preserve">Φόρτος Εργασίας Εξαμήνου</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7">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Διαλέξεις</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13 ώρες</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9">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Εργαστηριακή άσκηση</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13 ώρες</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B">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Ομαδικές εργασίες</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C">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24 ώρες</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D">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Ατομικές ή ομαδικές εργασίες εξάσκησης</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26 ώρες</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F">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Θεωρητική και πρακτική εξάσκηση</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24 ώρες</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1">
                  <w:pPr>
                    <w:rPr>
                      <w:rFonts w:ascii="Calibri" w:cs="Calibri" w:eastAsia="Calibri" w:hAnsi="Calibri"/>
                      <w:b w:val="0"/>
                      <w:i w:val="0"/>
                      <w:sz w:val="20"/>
                      <w:szCs w:val="20"/>
                      <w:vertAlign w:val="baseline"/>
                    </w:rPr>
                  </w:pPr>
                  <w:r w:rsidDel="00000000" w:rsidR="00000000" w:rsidRPr="00000000">
                    <w:rPr>
                      <w:rFonts w:ascii="Calibri" w:cs="Calibri" w:eastAsia="Calibri" w:hAnsi="Calibri"/>
                      <w:sz w:val="20"/>
                      <w:szCs w:val="20"/>
                      <w:vertAlign w:val="baseline"/>
                      <w:rtl w:val="0"/>
                    </w:rPr>
                    <w:t xml:space="preserve">Σύνολο Μαθήματος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100 ώρες</w:t>
                  </w:r>
                </w:p>
                <w:p w:rsidR="00000000" w:rsidDel="00000000" w:rsidP="00000000" w:rsidRDefault="00000000" w:rsidRPr="00000000" w14:paraId="00000083">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4 ECTS</w:t>
                  </w:r>
                </w:p>
              </w:tc>
            </w:tr>
          </w:tbl>
          <w:p w:rsidR="00000000" w:rsidDel="00000000" w:rsidP="00000000" w:rsidRDefault="00000000" w:rsidRPr="00000000" w14:paraId="00000084">
            <w:pPr>
              <w:rPr>
                <w:rFonts w:ascii="Calibri" w:cs="Calibri" w:eastAsia="Calibri" w:hAnsi="Calibri"/>
                <w:b w:val="0"/>
                <w:sz w:val="20"/>
                <w:szCs w:val="20"/>
                <w:vertAlign w:val="baseline"/>
              </w:rPr>
            </w:pPr>
            <w:r w:rsidDel="00000000" w:rsidR="00000000" w:rsidRPr="00000000">
              <w:rPr>
                <w:rtl w:val="0"/>
              </w:rPr>
            </w:r>
          </w:p>
        </w:tc>
      </w:tr>
      <w:tr>
        <w:trPr>
          <w:cantSplit w:val="0"/>
          <w:trHeight w:val="2520"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5">
            <w:pPr>
              <w:jc w:val="right"/>
              <w:rPr>
                <w:rFonts w:ascii="Calibri" w:cs="Calibri" w:eastAsia="Calibri" w:hAnsi="Calibri"/>
                <w:i w:val="0"/>
                <w:sz w:val="20"/>
                <w:szCs w:val="20"/>
                <w:vertAlign w:val="baseline"/>
              </w:rPr>
            </w:pPr>
            <w:r w:rsidDel="00000000" w:rsidR="00000000" w:rsidRPr="00000000">
              <w:rPr>
                <w:rFonts w:ascii="Calibri" w:cs="Calibri" w:eastAsia="Calibri" w:hAnsi="Calibri"/>
                <w:b w:val="1"/>
                <w:sz w:val="20"/>
                <w:szCs w:val="20"/>
                <w:vertAlign w:val="baseline"/>
                <w:rtl w:val="0"/>
              </w:rPr>
              <w:t xml:space="preserve">ΑΞΙΟΛΟΓΗΣΗ ΦΟΙΤΗΤΩΝ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Μέθοδοι αξιολόγησης:</w:t>
            </w:r>
          </w:p>
          <w:p w:rsidR="00000000" w:rsidDel="00000000" w:rsidP="00000000" w:rsidRDefault="00000000" w:rsidRPr="00000000" w14:paraId="0000008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Ι. Τελική εξέταση στην ελληνική γλώσσα (δυνατότητα εξέτασης και στην αγγλική) (50% της τελικής βαθμολογίας). (Ερωτήσεις Πολλαπλής Επιλογής, Ερωτήσεις Σύντομης Απάντησης, Ερωτήσεις Ανάπτυξης Δοκιμίων.) </w:t>
            </w:r>
          </w:p>
          <w:p w:rsidR="00000000" w:rsidDel="00000000" w:rsidP="00000000" w:rsidRDefault="00000000" w:rsidRPr="00000000" w14:paraId="0000008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ΙΙ. Ομαδική προφορική εργασία: Παρουσίαση ενός πλάνου μαθήματος με</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4-5 μουσικές δραστηριότητες (μουσικές και μουσικοπαιδαγωγικές δεξιότητες, 50% της τελικής βαθμολογίας). </w:t>
            </w:r>
            <w:r w:rsidDel="00000000" w:rsidR="00000000" w:rsidRPr="00000000">
              <w:rPr>
                <w:rtl w:val="0"/>
              </w:rPr>
            </w:r>
          </w:p>
        </w:tc>
      </w:tr>
    </w:tbl>
    <w:p w:rsidR="00000000" w:rsidDel="00000000" w:rsidP="00000000" w:rsidRDefault="00000000" w:rsidRPr="00000000" w14:paraId="00000089">
      <w:pPr>
        <w:widowControl w:val="0"/>
        <w:numPr>
          <w:ilvl w:val="0"/>
          <w:numId w:val="7"/>
        </w:numPr>
        <w:spacing w:after="200" w:before="240" w:line="276" w:lineRule="auto"/>
        <w:ind w:left="357" w:hanging="357"/>
        <w:rPr>
          <w:rFonts w:ascii="Calibri" w:cs="Calibri" w:eastAsia="Calibri" w:hAnsi="Calibri"/>
          <w:i w:val="0"/>
          <w:sz w:val="20"/>
          <w:szCs w:val="20"/>
          <w:vertAlign w:val="baseline"/>
        </w:rPr>
      </w:pPr>
      <w:r w:rsidDel="00000000" w:rsidR="00000000" w:rsidRPr="00000000">
        <w:rPr>
          <w:rFonts w:ascii="Calibri" w:cs="Calibri" w:eastAsia="Calibri" w:hAnsi="Calibri"/>
          <w:b w:val="1"/>
          <w:sz w:val="20"/>
          <w:szCs w:val="20"/>
          <w:vertAlign w:val="baseline"/>
          <w:rtl w:val="0"/>
        </w:rPr>
        <w:t xml:space="preserve">ΣΥΝΙΣΤΩΜΕΝΗ ΒΙΒΛΙΟΓΡΑΦΙΑ</w:t>
      </w:r>
      <w:r w:rsidDel="00000000" w:rsidR="00000000" w:rsidRPr="00000000">
        <w:rPr>
          <w:rtl w:val="0"/>
        </w:rPr>
      </w:r>
    </w:p>
    <w:tbl>
      <w:tblPr>
        <w:tblStyle w:val="Table6"/>
        <w:tblW w:w="8592.0" w:type="dxa"/>
        <w:jc w:val="left"/>
        <w:tblInd w:w="-168.0" w:type="dxa"/>
        <w:tblLayout w:type="fixed"/>
        <w:tblLook w:val="0000"/>
      </w:tblPr>
      <w:tblGrid>
        <w:gridCol w:w="8592"/>
        <w:tblGridChange w:id="0">
          <w:tblGrid>
            <w:gridCol w:w="85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Διονυσίου, Ζ. &amp; Αγγελίδου, Σ. (επιμ.) (2008).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Σχολική μουσική εκπαίδευση: Ζητήματα σχεδιασμού, μεθοδολογίας και εφαρμογών</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Θεσσαλονίκη: Ελληνική Ένωση για τη Μουσική Εκπαίδευση.</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Καραδήμου-Λιάτσου Π. (2003).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Η μουσικοπαιδαγωγική τον 20ό αιώνα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Αθήνα: Orpheus Νικολαΐδης.</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Στάμου, Λ. (επιμ.) (2019).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Διαλεκτική και Πρωτοπορία στη Μουσική Παιδαγωγική</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Θεσσαλονίκη: Ε.Ε.Μ.Ε. (Ελληνική Ένωση για τη Μουσική Εκπαίδευση).</w:t>
            </w:r>
          </w:p>
          <w:p w:rsidR="00000000" w:rsidDel="00000000" w:rsidP="00000000" w:rsidRDefault="00000000" w:rsidRPr="00000000" w14:paraId="0000008D">
            <w:pPr>
              <w:numPr>
                <w:ilvl w:val="0"/>
                <w:numId w:val="4"/>
              </w:numP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Κοκκίδου, Μαίη (2015). </w:t>
            </w:r>
            <w:r w:rsidDel="00000000" w:rsidR="00000000" w:rsidRPr="00000000">
              <w:rPr>
                <w:rFonts w:ascii="Calibri" w:cs="Calibri" w:eastAsia="Calibri" w:hAnsi="Calibri"/>
                <w:i w:val="1"/>
                <w:sz w:val="20"/>
                <w:szCs w:val="20"/>
                <w:vertAlign w:val="baseline"/>
                <w:rtl w:val="0"/>
              </w:rPr>
              <w:t xml:space="preserve">Διδακτική της Μουσικής: Νέες προκλήσεις, νέοι ορίζοντες</w:t>
            </w:r>
            <w:r w:rsidDel="00000000" w:rsidR="00000000" w:rsidRPr="00000000">
              <w:rPr>
                <w:rFonts w:ascii="Calibri" w:cs="Calibri" w:eastAsia="Calibri" w:hAnsi="Calibri"/>
                <w:sz w:val="20"/>
                <w:szCs w:val="20"/>
                <w:vertAlign w:val="baseline"/>
                <w:rtl w:val="0"/>
              </w:rPr>
              <w:t xml:space="preserve">. Αθήνα: Fagotto Books.</w:t>
            </w:r>
          </w:p>
          <w:p w:rsidR="00000000" w:rsidDel="00000000" w:rsidP="00000000" w:rsidRDefault="00000000" w:rsidRPr="00000000" w14:paraId="0000008E">
            <w:pPr>
              <w:numPr>
                <w:ilvl w:val="0"/>
                <w:numId w:val="4"/>
              </w:numP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Carder, P. (Ed.) (1990) </w:t>
            </w:r>
            <w:r w:rsidDel="00000000" w:rsidR="00000000" w:rsidRPr="00000000">
              <w:rPr>
                <w:rFonts w:ascii="Calibri" w:cs="Calibri" w:eastAsia="Calibri" w:hAnsi="Calibri"/>
                <w:i w:val="1"/>
                <w:sz w:val="20"/>
                <w:szCs w:val="20"/>
                <w:vertAlign w:val="baseline"/>
                <w:rtl w:val="0"/>
              </w:rPr>
              <w:t xml:space="preserve">The Eclectic curriculum in American music education. Contribution by Dalcroze, Kodaly, and Orff</w:t>
            </w:r>
            <w:r w:rsidDel="00000000" w:rsidR="00000000" w:rsidRPr="00000000">
              <w:rPr>
                <w:rFonts w:ascii="Calibri" w:cs="Calibri" w:eastAsia="Calibri" w:hAnsi="Calibri"/>
                <w:sz w:val="20"/>
                <w:szCs w:val="20"/>
                <w:vertAlign w:val="baseline"/>
                <w:rtl w:val="0"/>
              </w:rPr>
              <w:t xml:space="preserve">. Music Educators National Conference. Reston, Va. </w:t>
            </w:r>
          </w:p>
          <w:p w:rsidR="00000000" w:rsidDel="00000000" w:rsidP="00000000" w:rsidRDefault="00000000" w:rsidRPr="00000000" w14:paraId="0000008F">
            <w:pPr>
              <w:numPr>
                <w:ilvl w:val="0"/>
                <w:numId w:val="4"/>
              </w:numP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Ανδρούτσος, Π. (2004) </w:t>
            </w:r>
            <w:r w:rsidDel="00000000" w:rsidR="00000000" w:rsidRPr="00000000">
              <w:rPr>
                <w:rFonts w:ascii="Calibri" w:cs="Calibri" w:eastAsia="Calibri" w:hAnsi="Calibri"/>
                <w:i w:val="1"/>
                <w:sz w:val="20"/>
                <w:szCs w:val="20"/>
                <w:vertAlign w:val="baseline"/>
                <w:rtl w:val="0"/>
              </w:rPr>
              <w:t xml:space="preserve">Μέθοδοι Διδασκαλίας της Μουσικής: Παρουσίαση και Κριτική Θεώρηση των μεθόδων Orff &amp; Dalcroze</w:t>
            </w:r>
            <w:r w:rsidDel="00000000" w:rsidR="00000000" w:rsidRPr="00000000">
              <w:rPr>
                <w:rFonts w:ascii="Calibri" w:cs="Calibri" w:eastAsia="Calibri" w:hAnsi="Calibri"/>
                <w:sz w:val="20"/>
                <w:szCs w:val="20"/>
                <w:vertAlign w:val="baseline"/>
                <w:rtl w:val="0"/>
              </w:rPr>
              <w:t xml:space="preserve">. Αθήνα: Νικολαΐδης – Orpheus Edition. </w:t>
            </w:r>
          </w:p>
          <w:p w:rsidR="00000000" w:rsidDel="00000000" w:rsidP="00000000" w:rsidRDefault="00000000" w:rsidRPr="00000000" w14:paraId="00000090">
            <w:pPr>
              <w:numPr>
                <w:ilvl w:val="0"/>
                <w:numId w:val="4"/>
              </w:numPr>
              <w:shd w:fill="ffffff" w:val="clea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Αντωνακάκης, Δ. (1996). </w:t>
            </w:r>
            <w:r w:rsidDel="00000000" w:rsidR="00000000" w:rsidRPr="00000000">
              <w:rPr>
                <w:rFonts w:ascii="Calibri" w:cs="Calibri" w:eastAsia="Calibri" w:hAnsi="Calibri"/>
                <w:i w:val="1"/>
                <w:sz w:val="20"/>
                <w:szCs w:val="20"/>
                <w:vertAlign w:val="baseline"/>
                <w:rtl w:val="0"/>
              </w:rPr>
              <w:t xml:space="preserve">Carl Orff, 1895-1982. Μια αναφορά στη ζωή και το έργο του μεγάλου συνθέτη και μουσικοπαιδαγωγού. </w:t>
            </w:r>
            <w:r w:rsidDel="00000000" w:rsidR="00000000" w:rsidRPr="00000000">
              <w:rPr>
                <w:rFonts w:ascii="Calibri" w:cs="Calibri" w:eastAsia="Calibri" w:hAnsi="Calibri"/>
                <w:sz w:val="20"/>
                <w:szCs w:val="20"/>
                <w:vertAlign w:val="baseline"/>
                <w:rtl w:val="0"/>
              </w:rPr>
              <w:t xml:space="preserve">Ηράκλειο, Ορφεύς.</w:t>
            </w:r>
          </w:p>
          <w:p w:rsidR="00000000" w:rsidDel="00000000" w:rsidP="00000000" w:rsidRDefault="00000000" w:rsidRPr="00000000" w14:paraId="00000091">
            <w:pPr>
              <w:numPr>
                <w:ilvl w:val="0"/>
                <w:numId w:val="4"/>
              </w:numPr>
              <w:shd w:fill="ffffff" w:val="clea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Τσαφταρίδης, Ν. (1997) </w:t>
            </w:r>
            <w:r w:rsidDel="00000000" w:rsidR="00000000" w:rsidRPr="00000000">
              <w:rPr>
                <w:rFonts w:ascii="Calibri" w:cs="Calibri" w:eastAsia="Calibri" w:hAnsi="Calibri"/>
                <w:i w:val="1"/>
                <w:sz w:val="20"/>
                <w:szCs w:val="20"/>
                <w:vertAlign w:val="baseline"/>
                <w:rtl w:val="0"/>
              </w:rPr>
              <w:t xml:space="preserve">Μουσική, Κίνηση, Λόγος: Η Στοιχειοδομική Μουσική στο Παιδαγωγικό Έργο Orff. </w:t>
            </w:r>
            <w:r w:rsidDel="00000000" w:rsidR="00000000" w:rsidRPr="00000000">
              <w:rPr>
                <w:rFonts w:ascii="Calibri" w:cs="Calibri" w:eastAsia="Calibri" w:hAnsi="Calibri"/>
                <w:sz w:val="20"/>
                <w:szCs w:val="20"/>
                <w:vertAlign w:val="baseline"/>
                <w:rtl w:val="0"/>
              </w:rPr>
              <w:t xml:space="preserve">Αθήνα: Νήσος. </w:t>
            </w:r>
          </w:p>
          <w:p w:rsidR="00000000" w:rsidDel="00000000" w:rsidP="00000000" w:rsidRDefault="00000000" w:rsidRPr="00000000" w14:paraId="00000092">
            <w:pPr>
              <w:numPr>
                <w:ilvl w:val="0"/>
                <w:numId w:val="6"/>
              </w:numPr>
              <w:shd w:fill="ffffff" w:val="clear"/>
              <w:spacing w:before="5" w:lineRule="auto"/>
              <w:ind w:left="432" w:hanging="432"/>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Συναφή επιστημονικά περιοδικά:</w:t>
            </w:r>
          </w:p>
          <w:p w:rsidR="00000000" w:rsidDel="00000000" w:rsidP="00000000" w:rsidRDefault="00000000" w:rsidRPr="00000000" w14:paraId="00000094">
            <w:pPr>
              <w:numPr>
                <w:ilvl w:val="0"/>
                <w:numId w:val="5"/>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Μουσικοπαιδαγωγικά</w:t>
            </w:r>
          </w:p>
          <w:p w:rsidR="00000000" w:rsidDel="00000000" w:rsidP="00000000" w:rsidRDefault="00000000" w:rsidRPr="00000000" w14:paraId="00000095">
            <w:pPr>
              <w:numPr>
                <w:ilvl w:val="0"/>
                <w:numId w:val="5"/>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Μουσική Εκπαίδευση</w:t>
            </w:r>
          </w:p>
          <w:p w:rsidR="00000000" w:rsidDel="00000000" w:rsidP="00000000" w:rsidRDefault="00000000" w:rsidRPr="00000000" w14:paraId="00000096">
            <w:pPr>
              <w:numPr>
                <w:ilvl w:val="0"/>
                <w:numId w:val="5"/>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Music Educators Journal</w:t>
            </w:r>
          </w:p>
          <w:p w:rsidR="00000000" w:rsidDel="00000000" w:rsidP="00000000" w:rsidRDefault="00000000" w:rsidRPr="00000000" w14:paraId="00000097">
            <w:pPr>
              <w:numPr>
                <w:ilvl w:val="0"/>
                <w:numId w:val="5"/>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Music Education Research</w:t>
            </w:r>
          </w:p>
          <w:p w:rsidR="00000000" w:rsidDel="00000000" w:rsidP="00000000" w:rsidRDefault="00000000" w:rsidRPr="00000000" w14:paraId="00000098">
            <w:pPr>
              <w:numPr>
                <w:ilvl w:val="0"/>
                <w:numId w:val="5"/>
              </w:numPr>
              <w:ind w:left="720" w:hanging="360"/>
              <w:jc w:val="both"/>
              <w:rPr>
                <w:rFonts w:ascii="Calibri" w:cs="Calibri" w:eastAsia="Calibri" w:hAnsi="Calibri"/>
                <w:b w:val="0"/>
                <w:sz w:val="20"/>
                <w:szCs w:val="20"/>
                <w:vertAlign w:val="baseline"/>
              </w:rPr>
            </w:pPr>
            <w:r w:rsidDel="00000000" w:rsidR="00000000" w:rsidRPr="00000000">
              <w:rPr>
                <w:rFonts w:ascii="Calibri" w:cs="Calibri" w:eastAsia="Calibri" w:hAnsi="Calibri"/>
                <w:sz w:val="20"/>
                <w:szCs w:val="20"/>
                <w:vertAlign w:val="baseline"/>
                <w:rtl w:val="0"/>
              </w:rPr>
              <w:t xml:space="preserve">British Journal of Music Education</w:t>
            </w:r>
            <w:r w:rsidDel="00000000" w:rsidR="00000000" w:rsidRPr="00000000">
              <w:rPr>
                <w:rtl w:val="0"/>
              </w:rPr>
            </w:r>
          </w:p>
        </w:tc>
      </w:tr>
    </w:tbl>
    <w:p w:rsidR="00000000" w:rsidDel="00000000" w:rsidP="00000000" w:rsidRDefault="00000000" w:rsidRPr="00000000" w14:paraId="00000099">
      <w:pPr>
        <w:rPr>
          <w:rFonts w:ascii="Calibri" w:cs="Calibri" w:eastAsia="Calibri" w:hAnsi="Calibri"/>
          <w:sz w:val="20"/>
          <w:szCs w:val="20"/>
          <w:vertAlign w:val="baseline"/>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decimal"/>
      <w:lvlText w:val=""/>
      <w:lvlJc w:val="left"/>
      <w:pPr>
        <w:ind w:left="432" w:hanging="432"/>
      </w:pPr>
      <w:rPr>
        <w:rFonts w:ascii="Calibri" w:cs="Calibri" w:eastAsia="Calibri" w:hAnsi="Calibri"/>
        <w:b w:val="1"/>
        <w:smallCaps w:val="0"/>
        <w:color w:val="000000"/>
        <w:sz w:val="22"/>
        <w:szCs w:val="22"/>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rFonts w:ascii="Noto Sans Symbols" w:cs="Noto Sans Symbols" w:eastAsia="Noto Sans Symbols" w:hAnsi="Noto Sans Symbols"/>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lvl w:ilvl="0">
      <w:start w:val="1"/>
      <w:numFmt w:val="decimal"/>
      <w:lvlText w:val="%1."/>
      <w:lvlJc w:val="left"/>
      <w:pPr>
        <w:ind w:left="720" w:hanging="360"/>
      </w:pPr>
      <w:rPr>
        <w:rFonts w:ascii="Calibri" w:cs="Calibri" w:eastAsia="Calibri" w:hAnsi="Calibri"/>
        <w:b w:val="1"/>
        <w:i w:val="0"/>
        <w:vertAlign w:val="baseline"/>
      </w:rPr>
    </w:lvl>
    <w:lvl w:ilvl="1">
      <w:start w:val="1"/>
      <w:numFmt w:val="lowerLetter"/>
      <w:lvlText w:val="%2."/>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180"/>
      </w:pPr>
      <w:rPr>
        <w:rFonts w:ascii="Courier New" w:cs="Courier New" w:eastAsia="Courier New" w:hAnsi="Courier New"/>
        <w:vertAlign w:val="baseline"/>
      </w:rPr>
    </w:lvl>
    <w:lvl w:ilvl="3">
      <w:start w:val="1"/>
      <w:numFmt w:val="decimal"/>
      <w:lvlText w:val="%4."/>
      <w:lvlJc w:val="left"/>
      <w:pPr>
        <w:ind w:left="2880" w:hanging="360"/>
      </w:pPr>
      <w:rPr>
        <w:rFonts w:ascii="Courier New" w:cs="Courier New" w:eastAsia="Courier New" w:hAnsi="Courier New"/>
        <w:vertAlign w:val="baseline"/>
      </w:rPr>
    </w:lvl>
    <w:lvl w:ilvl="4">
      <w:start w:val="1"/>
      <w:numFmt w:val="lowerLetter"/>
      <w:lvlText w:val="%5."/>
      <w:lvlJc w:val="left"/>
      <w:pPr>
        <w:ind w:left="3600" w:hanging="360"/>
      </w:pPr>
      <w:rPr>
        <w:rFonts w:ascii="Courier New" w:cs="Courier New" w:eastAsia="Courier New" w:hAnsi="Courier New"/>
        <w:vertAlign w:val="baseline"/>
      </w:rPr>
    </w:lvl>
    <w:lvl w:ilvl="5">
      <w:start w:val="1"/>
      <w:numFmt w:val="lowerRoman"/>
      <w:lvlText w:val="%6."/>
      <w:lvlJc w:val="right"/>
      <w:pPr>
        <w:ind w:left="4320" w:hanging="180"/>
      </w:pPr>
      <w:rPr>
        <w:rFonts w:ascii="Courier New" w:cs="Courier New" w:eastAsia="Courier New" w:hAnsi="Courier New"/>
        <w:vertAlign w:val="baseline"/>
      </w:rPr>
    </w:lvl>
    <w:lvl w:ilvl="6">
      <w:start w:val="1"/>
      <w:numFmt w:val="decimal"/>
      <w:lvlText w:val="%7."/>
      <w:lvlJc w:val="left"/>
      <w:pPr>
        <w:ind w:left="5040" w:hanging="360"/>
      </w:pPr>
      <w:rPr>
        <w:rFonts w:ascii="Courier New" w:cs="Courier New" w:eastAsia="Courier New" w:hAnsi="Courier New"/>
        <w:vertAlign w:val="baseline"/>
      </w:rPr>
    </w:lvl>
    <w:lvl w:ilvl="7">
      <w:start w:val="1"/>
      <w:numFmt w:val="lowerLetter"/>
      <w:lvlText w:val="%8."/>
      <w:lvlJc w:val="left"/>
      <w:pPr>
        <w:ind w:left="5760" w:hanging="360"/>
      </w:pPr>
      <w:rPr>
        <w:rFonts w:ascii="Courier New" w:cs="Courier New" w:eastAsia="Courier New" w:hAnsi="Courier New"/>
        <w:vertAlign w:val="baseline"/>
      </w:rPr>
    </w:lvl>
    <w:lvl w:ilvl="8">
      <w:start w:val="1"/>
      <w:numFmt w:val="lowerRoman"/>
      <w:lvlText w:val="%9."/>
      <w:lvlJc w:val="right"/>
      <w:pPr>
        <w:ind w:left="6480" w:hanging="180"/>
      </w:pPr>
      <w:rPr>
        <w:rFonts w:ascii="Courier New" w:cs="Courier New" w:eastAsia="Courier New" w:hAnsi="Courier New"/>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Calibri" w:cs="Times New Roman" w:hAnsi="Calibri"/>
      <w:b w:val="1"/>
      <w:caps w:val="0"/>
      <w:smallCaps w:val="0"/>
      <w:color w:val="000000"/>
      <w:w w:val="100"/>
      <w:position w:val="-1"/>
      <w:sz w:val="22"/>
      <w:szCs w:val="22"/>
      <w:effect w:val="none"/>
      <w:vertAlign w:val="baseline"/>
      <w:cs w:val="0"/>
      <w:em w:val="none"/>
      <w:lang w:val="en-US"/>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hint="default"/>
      <w:w w:val="100"/>
      <w:position w:val="-1"/>
      <w:effect w:val="none"/>
      <w:vertAlign w:val="baseline"/>
      <w:cs w:val="0"/>
      <w:em w:val="none"/>
      <w:lang w:val="el-GR"/>
    </w:rPr>
  </w:style>
  <w:style w:type="character" w:styleId="WW8Num2z1">
    <w:name w:val="WW8Num2z1"/>
    <w:next w:val="WW8Num2z1"/>
    <w:autoRedefine w:val="0"/>
    <w:hidden w:val="0"/>
    <w:qFormat w:val="0"/>
    <w:rPr>
      <w:rFonts w:ascii="Courier New" w:cs="Courier New" w:hAnsi="Courier New" w:hint="default"/>
      <w:w w:val="100"/>
      <w:position w:val="-1"/>
      <w:effect w:val="none"/>
      <w:vertAlign w:val="baseline"/>
      <w:cs w:val="0"/>
      <w:em w:val="none"/>
      <w:lang/>
    </w:rPr>
  </w:style>
  <w:style w:type="character" w:styleId="WW8Num3z0">
    <w:name w:val="WW8Num3z0"/>
    <w:next w:val="WW8Num3z0"/>
    <w:autoRedefine w:val="0"/>
    <w:hidden w:val="0"/>
    <w:qFormat w:val="0"/>
    <w:rPr>
      <w:rFonts w:ascii="Calibri" w:cs="Times New Roman" w:hAnsi="Calibri"/>
      <w:b w:val="1"/>
      <w:caps w:val="0"/>
      <w:smallCaps w:val="0"/>
      <w:color w:val="000000"/>
      <w:w w:val="100"/>
      <w:position w:val="-1"/>
      <w:sz w:val="22"/>
      <w:szCs w:val="22"/>
      <w:effect w:val="none"/>
      <w:vertAlign w:val="baseline"/>
      <w:cs w:val="0"/>
      <w:em w:val="none"/>
      <w:lang w:val="el-GR"/>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DefaultParagraphFont1">
    <w:name w:val="Default Paragraph Font1"/>
    <w:next w:val="DefaultParagraphFont1"/>
    <w:autoRedefine w:val="0"/>
    <w:hidden w:val="0"/>
    <w:qFormat w:val="0"/>
    <w:rPr>
      <w:w w:val="100"/>
      <w:position w:val="-1"/>
      <w:effect w:val="none"/>
      <w:vertAlign w:val="baseline"/>
      <w:cs w:val="0"/>
      <w:em w:val="none"/>
      <w:lang/>
    </w:rPr>
  </w:style>
  <w:style w:type="character" w:styleId="Προεπιλεγμένηγραμματοσειρά1">
    <w:name w:val="Προεπιλεγμένη γραμματοσειρά1"/>
    <w:next w:val="Προεπιλεγμένηγραμματοσειρά1"/>
    <w:autoRedefine w:val="0"/>
    <w:hidden w:val="0"/>
    <w:qFormat w:val="0"/>
    <w:rPr>
      <w:w w:val="100"/>
      <w:position w:val="-1"/>
      <w:effect w:val="none"/>
      <w:vertAlign w:val="baseline"/>
      <w:cs w:val="0"/>
      <w:em w:val="none"/>
      <w:lang/>
    </w:rPr>
  </w:style>
  <w:style w:type="character" w:styleId="hps">
    <w:name w:val="hps"/>
    <w:basedOn w:val="Προεπιλεγμένηγραμματοσειρά1"/>
    <w:next w:val="hps"/>
    <w:autoRedefine w:val="0"/>
    <w:hidden w:val="0"/>
    <w:qFormat w:val="0"/>
    <w:rPr>
      <w:w w:val="100"/>
      <w:position w:val="-1"/>
      <w:effect w:val="none"/>
      <w:vertAlign w:val="baseline"/>
      <w:cs w:val="0"/>
      <w:em w:val="none"/>
      <w:lang/>
    </w:rPr>
  </w:style>
  <w:style w:type="character" w:styleId="hpsatn">
    <w:name w:val="hps atn"/>
    <w:basedOn w:val="Προεπιλεγμένηγραμματοσειρά1"/>
    <w:next w:val="hpsatn"/>
    <w:autoRedefine w:val="0"/>
    <w:hidden w:val="0"/>
    <w:qFormat w:val="0"/>
    <w:rPr>
      <w:w w:val="100"/>
      <w:position w:val="-1"/>
      <w:effect w:val="none"/>
      <w:vertAlign w:val="baseline"/>
      <w:cs w:val="0"/>
      <w:em w:val="none"/>
      <w:lang/>
    </w:rPr>
  </w:style>
  <w:style w:type="character" w:styleId="NumberingSymbols">
    <w:name w:val="Numbering Symbols"/>
    <w:next w:val="NumberingSymbols"/>
    <w:autoRedefine w:val="0"/>
    <w:hidden w:val="0"/>
    <w:qFormat w:val="0"/>
    <w:rPr>
      <w:w w:val="100"/>
      <w:position w:val="-1"/>
      <w:effect w:val="none"/>
      <w:vertAlign w:val="baseline"/>
      <w:cs w:val="0"/>
      <w:em w:val="none"/>
      <w:lang/>
    </w:rPr>
  </w:style>
  <w:style w:type="character" w:styleId="Bullets">
    <w:name w:val="Bullets"/>
    <w:next w:val="Bullets"/>
    <w:autoRedefine w:val="0"/>
    <w:hidden w:val="0"/>
    <w:qFormat w:val="0"/>
    <w:rPr>
      <w:rFonts w:ascii="OpenSymbol" w:cs="OpenSymbol" w:eastAsia="OpenSymbol" w:hAnsi="OpenSymbol"/>
      <w:w w:val="100"/>
      <w:position w:val="-1"/>
      <w:effect w:val="none"/>
      <w:vertAlign w:val="baseline"/>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bidi="und" w:eastAsia="und" w:val="und"/>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Unicode MS" w:eastAsia="Arial Unicode MS"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Caption1">
    <w:name w:val="Caption1"/>
    <w:basedOn w:val="Normal"/>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ar-SA"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pencourses.ionio.gr/modules/course_description/?course=DMS14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XFuuWrlfvtiGnNZ4+7AHqptQsw==">CgMxLjA4AHIhMUJ6ZWlrZ1RWaVlwamRMZVBPaEJqajRkOWxMUzA5QmJM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2020-04-01T16:01:00Z</dcterms:created>
  <dc:creator>Makris</dc:creator>
</cp:coreProperties>
</file>

<file path=docProps/custom.xml><?xml version="1.0" encoding="utf-8"?>
<Properties xmlns="http://schemas.openxmlformats.org/officeDocument/2006/custom-properties" xmlns:vt="http://schemas.openxmlformats.org/officeDocument/2006/docPropsVTypes"/>
</file>