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20" w:line="276"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ΠΕΡΙΓΡΑΜΜΑ ΜΑΘΗΜΑΤΟΣ</w:t>
      </w:r>
      <w:r w:rsidDel="00000000" w:rsidR="00000000" w:rsidRPr="00000000">
        <w:rPr>
          <w:rtl w:val="0"/>
        </w:rPr>
      </w:r>
    </w:p>
    <w:p w:rsidR="00000000" w:rsidDel="00000000" w:rsidP="00000000" w:rsidRDefault="00000000" w:rsidRPr="00000000" w14:paraId="00000002">
      <w:pPr>
        <w:widowControl w:val="0"/>
        <w:numPr>
          <w:ilvl w:val="0"/>
          <w:numId w:val="7"/>
        </w:numPr>
        <w:spacing w:after="200" w:before="120" w:line="276" w:lineRule="auto"/>
        <w:ind w:left="357" w:hanging="357"/>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ΓΕΝΙΚΑ</w:t>
      </w:r>
      <w:r w:rsidDel="00000000" w:rsidR="00000000" w:rsidRPr="00000000">
        <w:rPr>
          <w:rtl w:val="0"/>
        </w:rPr>
      </w:r>
    </w:p>
    <w:tbl>
      <w:tblPr>
        <w:tblStyle w:val="Table1"/>
        <w:tblW w:w="8496.0" w:type="dxa"/>
        <w:jc w:val="left"/>
        <w:tblLayout w:type="fixed"/>
        <w:tblLook w:val="0000"/>
      </w:tblPr>
      <w:tblGrid>
        <w:gridCol w:w="3205"/>
        <w:gridCol w:w="1473"/>
        <w:gridCol w:w="959"/>
        <w:gridCol w:w="1208"/>
        <w:gridCol w:w="351"/>
        <w:gridCol w:w="1300"/>
        <w:tblGridChange w:id="0">
          <w:tblGrid>
            <w:gridCol w:w="3205"/>
            <w:gridCol w:w="1473"/>
            <w:gridCol w:w="959"/>
            <w:gridCol w:w="1208"/>
            <w:gridCol w:w="351"/>
            <w:gridCol w:w="1300"/>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3">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ΣΧΟΛΗ</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4">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ΜΟΥΣΙΚΗΣ ΚΑΙ ΟΠΤΙΚΟΑΚΟΥΣΤΙΚΩΝ ΤΕΧΝΩΝ</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9">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ΤΜΗΜΑ</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A">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ΜΟΥΣΙΚΩΝ ΣΠΟΥΔΩΝ</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F">
            <w:pPr>
              <w:jc w:val="right"/>
              <w:rPr>
                <w:rFonts w:ascii="Calibri" w:cs="Calibri" w:eastAsia="Calibri" w:hAnsi="Calibri"/>
                <w:i w:val="0"/>
                <w:sz w:val="20"/>
                <w:szCs w:val="20"/>
                <w:vertAlign w:val="baseline"/>
              </w:rPr>
            </w:pPr>
            <w:r w:rsidDel="00000000" w:rsidR="00000000" w:rsidRPr="00000000">
              <w:rPr>
                <w:rFonts w:ascii="Calibri" w:cs="Calibri" w:eastAsia="Calibri" w:hAnsi="Calibri"/>
                <w:b w:val="1"/>
                <w:sz w:val="20"/>
                <w:szCs w:val="20"/>
                <w:vertAlign w:val="baseline"/>
                <w:rtl w:val="0"/>
              </w:rPr>
              <w:t xml:space="preserve">ΕΠΙΠΕΔΟ ΣΠΟΥΔΩΝ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0">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ΠΡΟΠΤΥΧΙΑΚΟ</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5">
            <w:pPr>
              <w:jc w:val="right"/>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ΚΩΔΙΚΟΣ ΜΑΘΗΜΑΤΟΣ</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6">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MUS329</w:t>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7">
            <w:pPr>
              <w:jc w:val="right"/>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ΕΞΑΜΗΝΟ ΣΠΟΥΔΩΝ</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9">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w:t>
            </w:r>
            <w:r w:rsidDel="00000000" w:rsidR="00000000" w:rsidRPr="00000000">
              <w:rPr>
                <w:rFonts w:ascii="Calibri" w:cs="Calibri" w:eastAsia="Calibri" w:hAnsi="Calibri"/>
                <w:sz w:val="20"/>
                <w:szCs w:val="20"/>
                <w:vertAlign w:val="superscript"/>
                <w:rtl w:val="0"/>
              </w:rPr>
              <w:t xml:space="preserve">ο</w:t>
            </w:r>
            <w:r w:rsidDel="00000000" w:rsidR="00000000" w:rsidRPr="00000000">
              <w:rPr>
                <w:rFonts w:ascii="Calibri" w:cs="Calibri" w:eastAsia="Calibri" w:hAnsi="Calibri"/>
                <w:sz w:val="20"/>
                <w:szCs w:val="20"/>
                <w:vertAlign w:val="baseline"/>
                <w:rtl w:val="0"/>
              </w:rPr>
              <w:t xml:space="preserve"> </w:t>
            </w:r>
          </w:p>
        </w:tc>
      </w:tr>
      <w:tr>
        <w:trPr>
          <w:cantSplit w:val="0"/>
          <w:trHeight w:val="375"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B">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ΤΙΤΛΟΣ ΜΑΘΗΜΑΤΟΣ</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ΠΑΙΔΑΓΩΓΙΚΑ Ι: ΘΕΜΑΤΑ - ΙΔΕΕΣ ΣΤΙΣ ΕΠΙΣΤΗΜΕΣ ΤΗΣ ΑΓΩΓΗΣ</w:t>
            </w:r>
            <w:r w:rsidDel="00000000" w:rsidR="00000000" w:rsidRPr="00000000">
              <w:rPr>
                <w:rtl w:val="0"/>
              </w:rPr>
            </w:r>
          </w:p>
        </w:tc>
      </w:tr>
      <w:tr>
        <w:trPr>
          <w:cantSplit w:val="0"/>
          <w:trHeight w:val="196"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1">
            <w:pPr>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ΑΥΤΟΤΕΛΕΙΣ ΔΙΔΑΚΤΙΚΕΣ ΔΡΑΣΤΗΡΙΟΤΗΤΕΣ</w:t>
            </w: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4">
            <w:pPr>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ΕΒΔΟΜΑΔΙΑΙΕΣ</w:t>
              <w:br w:type="textWrapping"/>
              <w:t xml:space="preserve">ΩΡΕΣ ΔΙΔΑΣΚΑΛΙΑΣ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jc w:val="center"/>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ΠΙΣΤΩΤΙΚΕΣ ΜΟΝΑΔΕΣ</w:t>
            </w:r>
            <w:r w:rsidDel="00000000" w:rsidR="00000000" w:rsidRPr="00000000">
              <w:rPr>
                <w:rtl w:val="0"/>
              </w:rPr>
            </w:r>
          </w:p>
        </w:tc>
      </w:tr>
      <w:tr>
        <w:trPr>
          <w:cantSplit w:val="0"/>
          <w:trHeight w:val="194" w:hRule="atLeast"/>
          <w:tblHeader w:val="0"/>
        </w:trPr>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7">
            <w:pPr>
              <w:jc w:val="right"/>
              <w:rPr>
                <w:rFonts w:ascii="Calibri" w:cs="Calibri" w:eastAsia="Calibri" w:hAnsi="Calibri"/>
                <w:sz w:val="20"/>
                <w:szCs w:val="20"/>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A">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5</w:t>
            </w:r>
          </w:p>
        </w:tc>
      </w:tr>
      <w:tr>
        <w:trPr>
          <w:cantSplit w:val="0"/>
          <w:trHeight w:val="521"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D">
            <w:pPr>
              <w:jc w:val="right"/>
              <w:rPr>
                <w:rFonts w:ascii="Calibri" w:cs="Calibri" w:eastAsia="Calibri" w:hAnsi="Calibri"/>
                <w:i w:val="0"/>
                <w:sz w:val="20"/>
                <w:szCs w:val="20"/>
                <w:vertAlign w:val="baseline"/>
              </w:rPr>
            </w:pPr>
            <w:r w:rsidDel="00000000" w:rsidR="00000000" w:rsidRPr="00000000">
              <w:rPr>
                <w:rFonts w:ascii="Calibri" w:cs="Calibri" w:eastAsia="Calibri" w:hAnsi="Calibri"/>
                <w:b w:val="1"/>
                <w:sz w:val="20"/>
                <w:szCs w:val="20"/>
                <w:vertAlign w:val="baseline"/>
                <w:rtl w:val="0"/>
              </w:rPr>
              <w:t xml:space="preserve">ΤΥΠΟΣ ΜΑΘΗΜΑΤΟΣ</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Γενικού υποβάθρου</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3">
            <w:pPr>
              <w:jc w:val="right"/>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ΠΡΟΑΠΑΙΤΟΥΜΕΝΑ ΜΑΘΗΜΑΤΑ:</w:t>
            </w:r>
            <w:r w:rsidDel="00000000" w:rsidR="00000000" w:rsidRPr="00000000">
              <w:rPr>
                <w:rtl w:val="0"/>
              </w:rPr>
            </w:r>
          </w:p>
          <w:p w:rsidR="00000000" w:rsidDel="00000000" w:rsidP="00000000" w:rsidRDefault="00000000" w:rsidRPr="00000000" w14:paraId="00000034">
            <w:pPr>
              <w:jc w:val="right"/>
              <w:rPr>
                <w:rFonts w:ascii="Calibri" w:cs="Calibri" w:eastAsia="Calibri" w:hAnsi="Calibri"/>
                <w:b w:val="0"/>
                <w:sz w:val="20"/>
                <w:szCs w:val="20"/>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numPr>
                <w:ilvl w:val="0"/>
                <w:numId w:val="6"/>
              </w:numPr>
              <w:ind w:left="720" w:hanging="360"/>
              <w:rPr>
                <w:rFonts w:ascii="Calibri" w:cs="Calibri" w:eastAsia="Calibri" w:hAnsi="Calibri"/>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A">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ΓΛΩΣΣΑ ΔΙΔΑΣΚΑΛΙΑΣ και ΕΞΕΤΑΣΕΩΝ:</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Ελληνική</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0">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ΤΟ ΜΑΘΗΜΑ ΠΡΟΣΦΕΡΕΤΑΙ ΣΕ ΦΟΙΤΗΤΕΣ ERASMUS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1">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Ναι (στην αγγλική γλώσσα)</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6">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ΗΛΕΚΤΡΟΝΙΚΗ ΣΕΛΙΔΑ ΜΑΘΗΜΑΤΟΣ (URL)</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spacing w:after="200" w:line="276"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https://opencourses.ionio.gr/courses/DMS149/</w:t>
            </w:r>
          </w:p>
        </w:tc>
      </w:tr>
    </w:tbl>
    <w:p w:rsidR="00000000" w:rsidDel="00000000" w:rsidP="00000000" w:rsidRDefault="00000000" w:rsidRPr="00000000" w14:paraId="0000004C">
      <w:pPr>
        <w:widowControl w:val="0"/>
        <w:numPr>
          <w:ilvl w:val="0"/>
          <w:numId w:val="7"/>
        </w:numPr>
        <w:spacing w:after="200" w:before="240" w:line="276" w:lineRule="auto"/>
        <w:ind w:left="357" w:hanging="357"/>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ΜΑΘΗΣΙΑΚΑ ΑΠΟΤΕΛΕΣΜΑΤΑ</w:t>
      </w:r>
      <w:r w:rsidDel="00000000" w:rsidR="00000000" w:rsidRPr="00000000">
        <w:rPr>
          <w:rtl w:val="0"/>
        </w:rPr>
      </w:r>
    </w:p>
    <w:tbl>
      <w:tblPr>
        <w:tblStyle w:val="Table2"/>
        <w:tblW w:w="8532.0" w:type="dxa"/>
        <w:jc w:val="left"/>
        <w:tblInd w:w="-138.0" w:type="dxa"/>
        <w:tblLayout w:type="fixed"/>
        <w:tblLook w:val="0000"/>
      </w:tblPr>
      <w:tblGrid>
        <w:gridCol w:w="8532"/>
        <w:tblGridChange w:id="0">
          <w:tblGrid>
            <w:gridCol w:w="8532"/>
          </w:tblGrid>
        </w:tblGridChange>
      </w:tblGrid>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4D">
            <w:pPr>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Μαθησιακά Αποτελέσματα</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E">
            <w:pPr>
              <w:widowControl w:val="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Το μάθημα είναι σχεδιασμένο ώστε οι φοιτητές να γνωρίσουν τις βασικές έννοιες της επιστήμης της αγωγής και να αποκτήσουν μία ευρεία άποψη για το πεδίο της παιδαγωγικής. Γίνεται ανάλυση των εννοιών της παιδαγωγικής, της εκπαίδευσης, της διδασκαλίας, της μάθησης, της μόρφωσης, της παιδείας, της ηθικής και της παιδαγωγικής επιστήμης. Μέσα από μία σύντομη ιστορική αναδρομή, οι φοιτητές γνωρίζουν τους σημαντικότερους παιδαγωγούς από την εποχή της αρχαιότητας μέχρι τον 21</w:t>
            </w:r>
            <w:r w:rsidDel="00000000" w:rsidR="00000000" w:rsidRPr="00000000">
              <w:rPr>
                <w:rFonts w:ascii="Calibri" w:cs="Calibri" w:eastAsia="Calibri" w:hAnsi="Calibri"/>
                <w:sz w:val="20"/>
                <w:szCs w:val="20"/>
                <w:vertAlign w:val="superscript"/>
                <w:rtl w:val="0"/>
              </w:rPr>
              <w:t xml:space="preserve">ο</w:t>
            </w:r>
            <w:r w:rsidDel="00000000" w:rsidR="00000000" w:rsidRPr="00000000">
              <w:rPr>
                <w:rFonts w:ascii="Calibri" w:cs="Calibri" w:eastAsia="Calibri" w:hAnsi="Calibri"/>
                <w:sz w:val="20"/>
                <w:szCs w:val="20"/>
                <w:vertAlign w:val="baseline"/>
                <w:rtl w:val="0"/>
              </w:rPr>
              <w:t xml:space="preserve"> αιώνα.</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vertAlign w:val="baseline"/>
                <w:rtl w:val="0"/>
              </w:rPr>
              <w:t xml:space="preserve">Μελετάται η ζωή και η συμβολή σημαντικών παιδαγωγών στην εξέλιξη της παιδαγωγικής επιστήμης, από την ελληνική αρχαιότητα, τον Μεσαίωνα και την Αναγέννηση, έως τη σύγχρονη εποχή στο εξωτερικό και στην Ελλάδα.</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vertAlign w:val="baseline"/>
                <w:rtl w:val="0"/>
              </w:rPr>
              <w:t xml:space="preserve">Παρουσιάζονται συνοπτικά οι συμπεριφορικές θεωρίες μάθησης, οι γνωστικές θεωρίες μάθησης, οι θεωρίες οικοδόμησης της γνώσης, οι κοινωνικοπολιτισμικές θεωρίες μάθησης, η θεωρία </w:t>
            </w:r>
            <w:r w:rsidDel="00000000" w:rsidR="00000000" w:rsidRPr="00000000">
              <w:rPr>
                <w:rFonts w:ascii="Calibri" w:cs="Calibri" w:eastAsia="Calibri" w:hAnsi="Calibri"/>
                <w:sz w:val="20"/>
                <w:szCs w:val="20"/>
                <w:rtl w:val="0"/>
              </w:rPr>
              <w:t xml:space="preserve">διυποκειμενικότητας</w:t>
            </w:r>
            <w:r w:rsidDel="00000000" w:rsidR="00000000" w:rsidRPr="00000000">
              <w:rPr>
                <w:rFonts w:ascii="Calibri" w:cs="Calibri" w:eastAsia="Calibri" w:hAnsi="Calibri"/>
                <w:sz w:val="20"/>
                <w:szCs w:val="20"/>
                <w:vertAlign w:val="baseline"/>
                <w:rtl w:val="0"/>
              </w:rPr>
              <w:t xml:space="preserve">, καθώς και η εφαρμογή τους στη διδακτική πράξη.</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vertAlign w:val="baseline"/>
                <w:rtl w:val="0"/>
              </w:rPr>
              <w:t xml:space="preserve">Προσεγγίζονται επίσης η διαδικασία της μάθησης και οι έννοιες της αντίληψης, της προσοχής, της δημιουργικότητας, της σκέψης και των ανώτερων εγκεφαλικών λειτουργιών. Δίνεται έμφαση σε ποικίλες διδακτικές προσεγγίσεις όπως ομαδοσυνεργατική διδασκαλία, μέθοδος project, άτυπη μάθηση, καθώς και σε θέματα διαπολιτισμικής παιδαγωγικής, ετερότητας, διαφορετικότητας, διαθεματικότητας. Τέλος, προσεγγίζονται οι μαθησιακές δυσκολίες, η διάγνωση, διαφοροδιάγνωση και η αντιμετώπιση προβλημάτων συμπεριφοράς στην εκπαίδευση καθώς και η αξιολόγηση του εκπαιδευτικού συστήματος και του εκπαιδευτικού έργου.</w:t>
            </w:r>
          </w:p>
          <w:p w:rsidR="00000000" w:rsidDel="00000000" w:rsidP="00000000" w:rsidRDefault="00000000" w:rsidRPr="00000000" w14:paraId="0000004F">
            <w:pPr>
              <w:widowControl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0">
            <w:pPr>
              <w:widowControl w:val="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Με την επιτυχή ολοκλήρωση του μαθήματος ο φοιτητής:</w:t>
            </w:r>
          </w:p>
          <w:p w:rsidR="00000000" w:rsidDel="00000000" w:rsidP="00000000" w:rsidRDefault="00000000" w:rsidRPr="00000000" w14:paraId="00000051">
            <w:pPr>
              <w:widowControl w:val="0"/>
              <w:numPr>
                <w:ilvl w:val="0"/>
                <w:numId w:val="1"/>
              </w:numPr>
              <w:ind w:left="108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Θα έχει αποκτήσει μία σφαιρική γνώση για τις διαφορές ανάμεσα στην παλαιά και την νέα παιδαγωγική.</w:t>
            </w:r>
          </w:p>
          <w:p w:rsidR="00000000" w:rsidDel="00000000" w:rsidP="00000000" w:rsidRDefault="00000000" w:rsidRPr="00000000" w14:paraId="00000052">
            <w:pPr>
              <w:widowControl w:val="0"/>
              <w:numPr>
                <w:ilvl w:val="0"/>
                <w:numId w:val="1"/>
              </w:numPr>
              <w:ind w:left="108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Θα έχει κατακτήσει τις βασικές έννοιες και το λεξιλόγιο της παιδαγωγικής επιστήμης.</w:t>
            </w:r>
          </w:p>
          <w:p w:rsidR="00000000" w:rsidDel="00000000" w:rsidP="00000000" w:rsidRDefault="00000000" w:rsidRPr="00000000" w14:paraId="00000053">
            <w:pPr>
              <w:widowControl w:val="0"/>
              <w:numPr>
                <w:ilvl w:val="0"/>
                <w:numId w:val="1"/>
              </w:numPr>
              <w:ind w:left="108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Θα έχει αποκτήσει μία ιστορική θέαση στην εξέλιξη της παιδαγωγικής σκέψης και επιστήμης.</w:t>
            </w:r>
          </w:p>
          <w:p w:rsidR="00000000" w:rsidDel="00000000" w:rsidP="00000000" w:rsidRDefault="00000000" w:rsidRPr="00000000" w14:paraId="00000054">
            <w:pPr>
              <w:widowControl w:val="0"/>
              <w:numPr>
                <w:ilvl w:val="0"/>
                <w:numId w:val="1"/>
              </w:numPr>
              <w:ind w:left="108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Θα είναι σε θέση να διακρίνει τις διαφορετικές θεωρίες μάθησης και πώς επηρεάζουν τη μαθησιακή διαδικασία.</w:t>
            </w:r>
          </w:p>
          <w:p w:rsidR="00000000" w:rsidDel="00000000" w:rsidP="00000000" w:rsidRDefault="00000000" w:rsidRPr="00000000" w14:paraId="00000055">
            <w:pPr>
              <w:widowControl w:val="0"/>
              <w:numPr>
                <w:ilvl w:val="0"/>
                <w:numId w:val="1"/>
              </w:numPr>
              <w:ind w:left="108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Θα έχει αποκτήσει την κριτική σκέψη και τη δυνατότητα να εφαρμόζει τη μέθοδο project, να ακολουθεί διαθεματική και διαπολιτισμική διδασκαλία. </w:t>
            </w:r>
          </w:p>
          <w:p w:rsidR="00000000" w:rsidDel="00000000" w:rsidP="00000000" w:rsidRDefault="00000000" w:rsidRPr="00000000" w14:paraId="00000056">
            <w:pPr>
              <w:widowControl w:val="0"/>
              <w:numPr>
                <w:ilvl w:val="0"/>
                <w:numId w:val="1"/>
              </w:numPr>
              <w:ind w:left="108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Θα έχει κατανοήσει το ευρύ πεδίο των μαθησιακών δυσκολιών και τους βασικούς τρόπους αντιμετώπισής τους στο διδακτικό πλαίσιο. </w:t>
            </w:r>
          </w:p>
          <w:p w:rsidR="00000000" w:rsidDel="00000000" w:rsidP="00000000" w:rsidRDefault="00000000" w:rsidRPr="00000000" w14:paraId="00000057">
            <w:pPr>
              <w:widowControl w:val="0"/>
              <w:numPr>
                <w:ilvl w:val="0"/>
                <w:numId w:val="1"/>
              </w:numPr>
              <w:ind w:left="108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Θα είναι σε θέση να σκέπτεται κριτικά και συγκριτικά για να επιλύσει διάφορα παιδαγωγικά σενάρια που σχετίζονται με δυσκολίες συμπεριφοράς, μάθησης και κοινωνικές, οικονομικές και πολιτισμικές συνθήκες των μαθητών.</w:t>
            </w:r>
          </w:p>
          <w:p w:rsidR="00000000" w:rsidDel="00000000" w:rsidP="00000000" w:rsidRDefault="00000000" w:rsidRPr="00000000" w14:paraId="00000058">
            <w:pPr>
              <w:widowControl w:val="0"/>
              <w:numPr>
                <w:ilvl w:val="0"/>
                <w:numId w:val="1"/>
              </w:numPr>
              <w:ind w:left="108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Θα έχει κατανοήσει τις βασικές αρχές που ακολουθούνται στην αξιολόγηση του εκπαιδευτικού συστήματος και του εκπαιδευτικού έργου.</w:t>
            </w:r>
          </w:p>
        </w:tc>
      </w:tr>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59">
            <w:pPr>
              <w:keepNext w:val="1"/>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Γενικές Ικανότητες</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A">
            <w:pPr>
              <w:widowControl w:val="0"/>
              <w:numPr>
                <w:ilvl w:val="0"/>
                <w:numId w:val="2"/>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Αυτόνομη εργασία</w:t>
            </w:r>
          </w:p>
          <w:p w:rsidR="00000000" w:rsidDel="00000000" w:rsidP="00000000" w:rsidRDefault="00000000" w:rsidRPr="00000000" w14:paraId="0000005B">
            <w:pPr>
              <w:widowControl w:val="0"/>
              <w:numPr>
                <w:ilvl w:val="0"/>
                <w:numId w:val="2"/>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Ομαδική εργασία</w:t>
            </w:r>
          </w:p>
          <w:p w:rsidR="00000000" w:rsidDel="00000000" w:rsidP="00000000" w:rsidRDefault="00000000" w:rsidRPr="00000000" w14:paraId="0000005C">
            <w:pPr>
              <w:widowControl w:val="0"/>
              <w:numPr>
                <w:ilvl w:val="0"/>
                <w:numId w:val="2"/>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Σεβασμός στη διαφορετικότητα και πολυπολιτισμικότητα</w:t>
            </w:r>
          </w:p>
          <w:p w:rsidR="00000000" w:rsidDel="00000000" w:rsidP="00000000" w:rsidRDefault="00000000" w:rsidRPr="00000000" w14:paraId="0000005D">
            <w:pPr>
              <w:widowControl w:val="0"/>
              <w:numPr>
                <w:ilvl w:val="0"/>
                <w:numId w:val="2"/>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Επίδειξη κοινωνικής, επαγγελματικής και ηθικής υπευθυνότητας και ευαισθησίας σε θέματα φύλου</w:t>
            </w:r>
          </w:p>
          <w:p w:rsidR="00000000" w:rsidDel="00000000" w:rsidP="00000000" w:rsidRDefault="00000000" w:rsidRPr="00000000" w14:paraId="0000005E">
            <w:pPr>
              <w:widowControl w:val="0"/>
              <w:numPr>
                <w:ilvl w:val="0"/>
                <w:numId w:val="2"/>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Άσκηση κριτικής και αυτοκριτικής</w:t>
            </w:r>
          </w:p>
          <w:p w:rsidR="00000000" w:rsidDel="00000000" w:rsidP="00000000" w:rsidRDefault="00000000" w:rsidRPr="00000000" w14:paraId="0000005F">
            <w:pPr>
              <w:widowControl w:val="0"/>
              <w:numPr>
                <w:ilvl w:val="0"/>
                <w:numId w:val="2"/>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Προαγωγή της ελεύθερης, δημιουργικής και επαγωγικής σκέψης</w:t>
            </w:r>
          </w:p>
          <w:p w:rsidR="00000000" w:rsidDel="00000000" w:rsidP="00000000" w:rsidRDefault="00000000" w:rsidRPr="00000000" w14:paraId="00000060">
            <w:pPr>
              <w:widowControl w:val="0"/>
              <w:numPr>
                <w:ilvl w:val="0"/>
                <w:numId w:val="2"/>
              </w:numPr>
              <w:ind w:left="720" w:hanging="360"/>
              <w:rPr>
                <w:rFonts w:ascii="Calibri" w:cs="Calibri" w:eastAsia="Calibri" w:hAnsi="Calibri"/>
                <w:i w:val="0"/>
                <w:sz w:val="20"/>
                <w:szCs w:val="20"/>
                <w:vertAlign w:val="baseline"/>
              </w:rPr>
            </w:pPr>
            <w:r w:rsidDel="00000000" w:rsidR="00000000" w:rsidRPr="00000000">
              <w:rPr>
                <w:rFonts w:ascii="Calibri" w:cs="Calibri" w:eastAsia="Calibri" w:hAnsi="Calibri"/>
                <w:sz w:val="20"/>
                <w:szCs w:val="20"/>
                <w:vertAlign w:val="baseline"/>
                <w:rtl w:val="0"/>
              </w:rPr>
              <w:t xml:space="preserve">Αναζήτηση, ανάλυση και σύνθεση δεδομένων και πληροφοριών, με τη χρήση και των απαραίτητων τεχνολογιών</w:t>
            </w:r>
            <w:r w:rsidDel="00000000" w:rsidR="00000000" w:rsidRPr="00000000">
              <w:rPr>
                <w:rtl w:val="0"/>
              </w:rPr>
            </w:r>
          </w:p>
        </w:tc>
      </w:tr>
    </w:tbl>
    <w:p w:rsidR="00000000" w:rsidDel="00000000" w:rsidP="00000000" w:rsidRDefault="00000000" w:rsidRPr="00000000" w14:paraId="00000061">
      <w:pPr>
        <w:widowControl w:val="0"/>
        <w:numPr>
          <w:ilvl w:val="0"/>
          <w:numId w:val="7"/>
        </w:numPr>
        <w:spacing w:after="200" w:before="240" w:line="276" w:lineRule="auto"/>
        <w:ind w:left="357" w:hanging="357"/>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ΠΕΡΙΕΧΟΜΕΝΟ ΜΑΘΗΜΑΤΟΣ</w:t>
      </w:r>
      <w:r w:rsidDel="00000000" w:rsidR="00000000" w:rsidRPr="00000000">
        <w:rPr>
          <w:rtl w:val="0"/>
        </w:rPr>
      </w:r>
    </w:p>
    <w:tbl>
      <w:tblPr>
        <w:tblStyle w:val="Table3"/>
        <w:tblW w:w="8532.0" w:type="dxa"/>
        <w:jc w:val="left"/>
        <w:tblInd w:w="-138.0" w:type="dxa"/>
        <w:tblLayout w:type="fixed"/>
        <w:tblLook w:val="0000"/>
      </w:tblPr>
      <w:tblGrid>
        <w:gridCol w:w="8532"/>
        <w:tblGridChange w:id="0">
          <w:tblGrid>
            <w:gridCol w:w="85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Αναπτύσσονται οι παρακάτω ενότητες:</w:t>
            </w:r>
          </w:p>
          <w:p w:rsidR="00000000" w:rsidDel="00000000" w:rsidP="00000000" w:rsidRDefault="00000000" w:rsidRPr="00000000" w14:paraId="00000063">
            <w:pPr>
              <w:numPr>
                <w:ilvl w:val="0"/>
                <w:numId w:val="3"/>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Βασικές έννοιες στις επιστήμες της αγωγής. Οι έννοιες της παιδαγωγικής, της εκπαίδευσης, της διδασκαλίας, της μάθησης, της μόρφωσης, της παιδείας, της ηθικής και της παιδαγωγικής επιστήμης. Φιλοσοφία της παιδαγωγικής στην Ελλάδα και Επιστήμες της Αγωγής.</w:t>
            </w:r>
          </w:p>
          <w:p w:rsidR="00000000" w:rsidDel="00000000" w:rsidP="00000000" w:rsidRDefault="00000000" w:rsidRPr="00000000" w14:paraId="00000064">
            <w:pPr>
              <w:numPr>
                <w:ilvl w:val="0"/>
                <w:numId w:val="3"/>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Σύντομη ιστορική αναδρομή για την αναγκαιότητα, την εξέλιξη και τις αλλαγές της εκπαίδευσης μέσα στο χρόνο. Πώς ξεκίνησε η εκπαίδευση; Αρχαιότητα, Βυζάντιο, Μεσαίωνας, Αναγέννηση.</w:t>
            </w:r>
          </w:p>
          <w:p w:rsidR="00000000" w:rsidDel="00000000" w:rsidP="00000000" w:rsidRDefault="00000000" w:rsidRPr="00000000" w14:paraId="00000065">
            <w:pPr>
              <w:numPr>
                <w:ilvl w:val="0"/>
                <w:numId w:val="3"/>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Το σχολείο ως θεσμός, η οργάνωσή του, οι λειτουργίες του και μία κριτική θεώρηση του σύγχρονου εκπαιδευτικού συστήματος.</w:t>
            </w:r>
          </w:p>
          <w:p w:rsidR="00000000" w:rsidDel="00000000" w:rsidP="00000000" w:rsidRDefault="00000000" w:rsidRPr="00000000" w14:paraId="00000066">
            <w:pPr>
              <w:numPr>
                <w:ilvl w:val="0"/>
                <w:numId w:val="3"/>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Η ζωή και η συμβολή σημαντικών παιδαγωγών στην εξέλιξη της παιδαγωγικής επιστήμης, από την ελληνική αρχαιότητα, τον Μεσαίωνα και την Αναγέννηση, έως τη σύγχρονη εποχή στο εξωτερικό και στην Ελλάδα (Σωκράτης, Πλάτωνας, Αριστοτέλης, Jean-Jacques Rousseau, Johann Heinrich Pestalozzi, Friedrich Wilhelm August Fröebel, Georg Kerschensteiner, John Dewey, Maria Montessori , Ovide Decroly, Adolphe Ferriere, Alexander Sutherland Neil, Anton Semyonovich Makarenko, Célestin Baptistin Freinet, Paulo Freire, Ivan Illich, Αλέξανδρος Δελμούζος, Δημήτρης Γληνός, Μανώλης Τριανταφυλλίδης, Ευάγγελος Παπανούτσος, Δημήτρης Λιαντίνης και άλλοι).</w:t>
            </w:r>
          </w:p>
          <w:p w:rsidR="00000000" w:rsidDel="00000000" w:rsidP="00000000" w:rsidRDefault="00000000" w:rsidRPr="00000000" w14:paraId="00000067">
            <w:pPr>
              <w:numPr>
                <w:ilvl w:val="0"/>
                <w:numId w:val="3"/>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Το πεδίο της γνωστικής ψυχολογίας, η νόηση, οι διανοητικές διεργασίες, είδη νοημοσύνης και παράγοντες που διαμορφώνουν τη διδασκαλία. Συμπεριφορικές θεωρίες μάθησης (Pavlov,  Watson,  Thorndike,  Skinner,  Crowder). Γνωστικές θεωρίες μάθησης. Θεωρίες οικοδόμησης της γνώσης (Piaget, Papert, Bruner). Κοινωνικοπολιτισμικές θεωρίες μάθησης (Bandura,  Vygotsky, Bronfenbrener), θεωρία διυποκειμενικότητας (Husserl, Trevarthen). Θεωρίες μάθησης και η εφαρμογή τους στη διδακτική πράξη.</w:t>
            </w:r>
          </w:p>
          <w:p w:rsidR="00000000" w:rsidDel="00000000" w:rsidP="00000000" w:rsidRDefault="00000000" w:rsidRPr="00000000" w14:paraId="00000068">
            <w:pPr>
              <w:numPr>
                <w:ilvl w:val="0"/>
                <w:numId w:val="3"/>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Η διαδικασία της μάθησης, πώς μαθαίνουμε, η αντίληψη, η προσοχή, η δημιουργικότητα, η σκέψη, η επίλυση προβλημάτων. Η διαδικασία της διδασκαλίας-μάθησης. Διδακτικές μέθοδοι, ομαδοσυνεργατική διδασκαλία, μέθοδος project, άτυπη μάθηση, το κλίμα της τάξης, δεξιότητες ακρόασης και ενσυναίσθησης εκπαιδευτικού, ο ρόλος του εκπαιδευτικού στη διαμόρφωση σχέσεων με τους μαθητές.</w:t>
            </w:r>
          </w:p>
          <w:p w:rsidR="00000000" w:rsidDel="00000000" w:rsidP="00000000" w:rsidRDefault="00000000" w:rsidRPr="00000000" w14:paraId="00000069">
            <w:pPr>
              <w:numPr>
                <w:ilvl w:val="0"/>
                <w:numId w:val="3"/>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Διαχείριση της τάξης, τα κίνητρα στη μάθηση, η ενεργή συμμετοχή, από τη δασκαλοκεντρική στη μαθητοκεντρική και την ομαδοσυνεργατική διδασκαλία. Άτυπη μάθηση. Επικοινωνία και αλληλεπίδραση στο εκπαιδευτικό περιβάλλον.  Θέματα διαπολιτισμικής παιδαγωγικής, ετερότητα, διαφορετικότητα, ανυπακοή, εκπαίδευση και τέχνη. Διαθεματικότητα.</w:t>
            </w:r>
          </w:p>
          <w:p w:rsidR="00000000" w:rsidDel="00000000" w:rsidP="00000000" w:rsidRDefault="00000000" w:rsidRPr="00000000" w14:paraId="0000006A">
            <w:pPr>
              <w:numPr>
                <w:ilvl w:val="0"/>
                <w:numId w:val="3"/>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Μαθησιακές δυσκολίες, διάγνωση, διαφοροδιάγνωση, αντιμετώπιση και προβλήματα συμπεριφοράς στην εκπαίδευση.</w:t>
            </w:r>
          </w:p>
          <w:p w:rsidR="00000000" w:rsidDel="00000000" w:rsidP="00000000" w:rsidRDefault="00000000" w:rsidRPr="00000000" w14:paraId="0000006B">
            <w:pPr>
              <w:numPr>
                <w:ilvl w:val="0"/>
                <w:numId w:val="3"/>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Αξιολόγηση του εκπαιδευτικού συστήματος και του εκπαιδευτικού έργου: αξιολόγηση εκπαιδευτικού, εκπαιδευόμενου, ύλης, μαθησιακών μοντέλων, διδακτικής διαδικασίας, και εκπαιδευτικού αποτελέσματος.</w:t>
            </w:r>
          </w:p>
        </w:tc>
      </w:tr>
    </w:tbl>
    <w:p w:rsidR="00000000" w:rsidDel="00000000" w:rsidP="00000000" w:rsidRDefault="00000000" w:rsidRPr="00000000" w14:paraId="0000006C">
      <w:pPr>
        <w:widowControl w:val="0"/>
        <w:numPr>
          <w:ilvl w:val="0"/>
          <w:numId w:val="7"/>
        </w:numPr>
        <w:spacing w:after="200" w:before="240" w:line="276" w:lineRule="auto"/>
        <w:ind w:left="357" w:hanging="357"/>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ΔΙΔΑΚΤΙΚΕΣ και ΜΑΘΗΣΙΑΚΕΣ ΜΕΘΟΔΟΙ - ΑΞΙΟΛΟΓΗΣΗ</w:t>
      </w:r>
      <w:r w:rsidDel="00000000" w:rsidR="00000000" w:rsidRPr="00000000">
        <w:rPr>
          <w:rtl w:val="0"/>
        </w:rPr>
      </w:r>
    </w:p>
    <w:tbl>
      <w:tblPr>
        <w:tblStyle w:val="Table4"/>
        <w:tblW w:w="8532.0" w:type="dxa"/>
        <w:jc w:val="left"/>
        <w:tblInd w:w="-138.0" w:type="dxa"/>
        <w:tblLayout w:type="fixed"/>
        <w:tblLook w:val="0000"/>
      </w:tblPr>
      <w:tblGrid>
        <w:gridCol w:w="3306"/>
        <w:gridCol w:w="5226"/>
        <w:tblGridChange w:id="0">
          <w:tblGrid>
            <w:gridCol w:w="3306"/>
            <w:gridCol w:w="5226"/>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D">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ΤΡΟΠΟΣ ΠΑΡΑΔΟΣΗΣ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E">
            <w:pPr>
              <w:spacing w:after="200" w:line="276"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Πρόσωπο με πρόσωπο</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F">
            <w:pPr>
              <w:jc w:val="right"/>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ΧΡΗΣΗ ΤΕΧΝΟΛΟΓΙΩΝ ΠΛΗΡΟΦΟΡΙΑΣ ΚΑΙ ΕΠΙΚΟΙΝΩΝΙΩΝ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0">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Χρήση της τεχνολογίας στη διδασκαλία</w:t>
            </w:r>
          </w:p>
          <w:p w:rsidR="00000000" w:rsidDel="00000000" w:rsidP="00000000" w:rsidRDefault="00000000" w:rsidRPr="00000000" w14:paraId="00000071">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Υποστήριξη μαθησιακής διαδικασίας μέσω της ηλεκτρονικής πλατφόρμας Open e-Class</w:t>
            </w:r>
          </w:p>
          <w:p w:rsidR="00000000" w:rsidDel="00000000" w:rsidP="00000000" w:rsidRDefault="00000000" w:rsidRPr="00000000" w14:paraId="00000072">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Επικοινωνία με τους φοιτητές μέσω ηλ. ταχυδρομείου</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3">
            <w:pPr>
              <w:jc w:val="right"/>
              <w:rPr>
                <w:rFonts w:ascii="Calibri" w:cs="Calibri" w:eastAsia="Calibri" w:hAnsi="Calibri"/>
                <w:i w:val="0"/>
                <w:sz w:val="20"/>
                <w:szCs w:val="20"/>
                <w:vertAlign w:val="baseline"/>
              </w:rPr>
            </w:pPr>
            <w:r w:rsidDel="00000000" w:rsidR="00000000" w:rsidRPr="00000000">
              <w:rPr>
                <w:rFonts w:ascii="Calibri" w:cs="Calibri" w:eastAsia="Calibri" w:hAnsi="Calibri"/>
                <w:b w:val="1"/>
                <w:sz w:val="20"/>
                <w:szCs w:val="20"/>
                <w:vertAlign w:val="baseline"/>
                <w:rtl w:val="0"/>
              </w:rPr>
              <w:t xml:space="preserve">ΟΡΓΑΝΩΣΗ ΔΙΔΑΣΚΑΛΙΑΣ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z w:val="20"/>
                <w:szCs w:val="20"/>
                <w:vertAlign w:val="baseline"/>
              </w:rPr>
            </w:pPr>
            <w:r w:rsidDel="00000000" w:rsidR="00000000" w:rsidRPr="00000000">
              <w:rPr>
                <w:rtl w:val="0"/>
              </w:rPr>
            </w:r>
          </w:p>
          <w:tbl>
            <w:tblPr>
              <w:tblStyle w:val="Table5"/>
              <w:tblW w:w="4995.0" w:type="dxa"/>
              <w:jc w:val="left"/>
              <w:tblLayout w:type="fixed"/>
              <w:tblLook w:val="0000"/>
            </w:tblPr>
            <w:tblGrid>
              <w:gridCol w:w="2467"/>
              <w:gridCol w:w="2528"/>
              <w:tblGridChange w:id="0">
                <w:tblGrid>
                  <w:gridCol w:w="2467"/>
                  <w:gridCol w:w="2528"/>
                </w:tblGrid>
              </w:tblGridChange>
            </w:tblGrid>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5">
                  <w:pPr>
                    <w:jc w:val="center"/>
                    <w:rPr>
                      <w:rFonts w:ascii="Calibri" w:cs="Calibri" w:eastAsia="Calibri" w:hAnsi="Calibri"/>
                      <w:b w:val="0"/>
                      <w:i w:val="0"/>
                      <w:sz w:val="20"/>
                      <w:szCs w:val="20"/>
                      <w:vertAlign w:val="baseline"/>
                    </w:rPr>
                  </w:pPr>
                  <w:r w:rsidDel="00000000" w:rsidR="00000000" w:rsidRPr="00000000">
                    <w:rPr>
                      <w:rFonts w:ascii="Calibri" w:cs="Calibri" w:eastAsia="Calibri" w:hAnsi="Calibri"/>
                      <w:b w:val="1"/>
                      <w:i w:val="1"/>
                      <w:sz w:val="20"/>
                      <w:szCs w:val="20"/>
                      <w:vertAlign w:val="baseline"/>
                      <w:rtl w:val="0"/>
                    </w:rPr>
                    <w:t xml:space="preserve">Δραστηριότητα</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jc w:val="center"/>
                    <w:rPr>
                      <w:rFonts w:ascii="Calibri" w:cs="Calibri" w:eastAsia="Calibri" w:hAnsi="Calibri"/>
                      <w:sz w:val="20"/>
                      <w:szCs w:val="20"/>
                      <w:vertAlign w:val="baseline"/>
                    </w:rPr>
                  </w:pPr>
                  <w:r w:rsidDel="00000000" w:rsidR="00000000" w:rsidRPr="00000000">
                    <w:rPr>
                      <w:rFonts w:ascii="Calibri" w:cs="Calibri" w:eastAsia="Calibri" w:hAnsi="Calibri"/>
                      <w:b w:val="1"/>
                      <w:i w:val="1"/>
                      <w:sz w:val="20"/>
                      <w:szCs w:val="20"/>
                      <w:vertAlign w:val="baseline"/>
                      <w:rtl w:val="0"/>
                    </w:rPr>
                    <w:t xml:space="preserve">Φόρτος Εργασίας Εξαμήνου</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7">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Διαλέξεις</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8">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26 ώρες</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9">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Ομαδικές εργασίες</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A">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20 ώρες</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B">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Συγγραφή εργασίας</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C">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35 ώρες</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D">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Αυτοτελής Μελέτη</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E">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44 ώρες</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F">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Σύνολο Μαθήματος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125 ώρες</w:t>
                  </w:r>
                </w:p>
                <w:p w:rsidR="00000000" w:rsidDel="00000000" w:rsidP="00000000" w:rsidRDefault="00000000" w:rsidRPr="00000000" w14:paraId="00000081">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5 ECTS</w:t>
                  </w:r>
                </w:p>
              </w:tc>
            </w:tr>
          </w:tbl>
          <w:p w:rsidR="00000000" w:rsidDel="00000000" w:rsidP="00000000" w:rsidRDefault="00000000" w:rsidRPr="00000000" w14:paraId="00000082">
            <w:pPr>
              <w:rPr>
                <w:rFonts w:ascii="Calibri" w:cs="Calibri" w:eastAsia="Calibri" w:hAnsi="Calibri"/>
                <w:b w:val="0"/>
                <w:sz w:val="20"/>
                <w:szCs w:val="20"/>
                <w:vertAlign w:val="baseline"/>
              </w:rPr>
            </w:pPr>
            <w:r w:rsidDel="00000000" w:rsidR="00000000" w:rsidRPr="00000000">
              <w:rPr>
                <w:rtl w:val="0"/>
              </w:rPr>
            </w:r>
          </w:p>
        </w:tc>
      </w:tr>
      <w:tr>
        <w:trPr>
          <w:cantSplit w:val="0"/>
          <w:trHeight w:val="2517"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3">
            <w:pPr>
              <w:jc w:val="right"/>
              <w:rPr>
                <w:rFonts w:ascii="Calibri" w:cs="Calibri" w:eastAsia="Calibri" w:hAnsi="Calibri"/>
                <w:i w:val="0"/>
                <w:sz w:val="20"/>
                <w:szCs w:val="20"/>
                <w:vertAlign w:val="baseline"/>
              </w:rPr>
            </w:pPr>
            <w:r w:rsidDel="00000000" w:rsidR="00000000" w:rsidRPr="00000000">
              <w:rPr>
                <w:rFonts w:ascii="Calibri" w:cs="Calibri" w:eastAsia="Calibri" w:hAnsi="Calibri"/>
                <w:b w:val="1"/>
                <w:sz w:val="20"/>
                <w:szCs w:val="20"/>
                <w:vertAlign w:val="baseline"/>
                <w:rtl w:val="0"/>
              </w:rPr>
              <w:t xml:space="preserve">ΑΞΙΟΛΟΓΗΣΗ ΦΟΙΤΗΤΩΝ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4">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Μέθοδος αξιολόγησης:</w:t>
            </w:r>
          </w:p>
          <w:p w:rsidR="00000000" w:rsidDel="00000000" w:rsidP="00000000" w:rsidRDefault="00000000" w:rsidRPr="00000000" w14:paraId="00000085">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Ι. Γραπτό τελικό διαγώνισμα (</w:t>
            </w:r>
            <w:r w:rsidDel="00000000" w:rsidR="00000000" w:rsidRPr="00000000">
              <w:rPr>
                <w:rFonts w:ascii="Calibri" w:cs="Calibri" w:eastAsia="Calibri" w:hAnsi="Calibri"/>
                <w:sz w:val="20"/>
                <w:szCs w:val="20"/>
                <w:rtl w:val="0"/>
              </w:rPr>
              <w:t xml:space="preserve">6</w:t>
            </w:r>
            <w:r w:rsidDel="00000000" w:rsidR="00000000" w:rsidRPr="00000000">
              <w:rPr>
                <w:rFonts w:ascii="Calibri" w:cs="Calibri" w:eastAsia="Calibri" w:hAnsi="Calibri"/>
                <w:sz w:val="20"/>
                <w:szCs w:val="20"/>
                <w:vertAlign w:val="baseline"/>
                <w:rtl w:val="0"/>
              </w:rPr>
              <w:t xml:space="preserve">0%)</w:t>
            </w:r>
          </w:p>
          <w:p w:rsidR="00000000" w:rsidDel="00000000" w:rsidP="00000000" w:rsidRDefault="00000000" w:rsidRPr="00000000" w14:paraId="00000086">
            <w:pPr>
              <w:ind w:left="529" w:firstLine="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Ερωτήσεις Πολλαπλής Επιλογής</w:t>
            </w:r>
          </w:p>
          <w:p w:rsidR="00000000" w:rsidDel="00000000" w:rsidP="00000000" w:rsidRDefault="00000000" w:rsidRPr="00000000" w14:paraId="00000087">
            <w:pPr>
              <w:ind w:left="529" w:firstLine="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Ερωτήσεις Σύντομης Απάντησης</w:t>
            </w:r>
          </w:p>
          <w:p w:rsidR="00000000" w:rsidDel="00000000" w:rsidP="00000000" w:rsidRDefault="00000000" w:rsidRPr="00000000" w14:paraId="00000088">
            <w:pPr>
              <w:ind w:left="529" w:firstLine="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Ερωτήσεις Ανάπτυξης Δοκιμίων</w:t>
            </w:r>
          </w:p>
          <w:p w:rsidR="00000000" w:rsidDel="00000000" w:rsidP="00000000" w:rsidRDefault="00000000" w:rsidRPr="00000000" w14:paraId="00000089">
            <w:pPr>
              <w:ind w:left="-38" w:firstLine="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II. Oμαδική ερευνητική εργασία (</w:t>
            </w:r>
            <w:r w:rsidDel="00000000" w:rsidR="00000000" w:rsidRPr="00000000">
              <w:rPr>
                <w:rFonts w:ascii="Calibri" w:cs="Calibri" w:eastAsia="Calibri" w:hAnsi="Calibri"/>
                <w:sz w:val="20"/>
                <w:szCs w:val="20"/>
                <w:rtl w:val="0"/>
              </w:rPr>
              <w:t xml:space="preserve">4</w:t>
            </w:r>
            <w:r w:rsidDel="00000000" w:rsidR="00000000" w:rsidRPr="00000000">
              <w:rPr>
                <w:rFonts w:ascii="Calibri" w:cs="Calibri" w:eastAsia="Calibri" w:hAnsi="Calibri"/>
                <w:sz w:val="20"/>
                <w:szCs w:val="20"/>
                <w:vertAlign w:val="baseline"/>
                <w:rtl w:val="0"/>
              </w:rPr>
              <w:t xml:space="preserve">0%)</w:t>
            </w:r>
          </w:p>
          <w:p w:rsidR="00000000" w:rsidDel="00000000" w:rsidP="00000000" w:rsidRDefault="00000000" w:rsidRPr="00000000" w14:paraId="0000008A">
            <w:pPr>
              <w:ind w:left="552" w:firstLine="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Γραπτή εργασία (βιβλιογραφική έρευνα, τεκμηρίωση, ΑΡΑ μορφοποίηση). Προφορική παρουσίαση στην τάξη. </w:t>
            </w:r>
            <w:r w:rsidDel="00000000" w:rsidR="00000000" w:rsidRPr="00000000">
              <w:rPr>
                <w:rFonts w:ascii="Calibri" w:cs="Calibri" w:eastAsia="Calibri" w:hAnsi="Calibri"/>
                <w:sz w:val="20"/>
                <w:szCs w:val="20"/>
                <w:rtl w:val="0"/>
              </w:rPr>
              <w:t xml:space="preserve">Συζήτηση - αξιολόγηση (σε μορφή ερώτησης-απάντησης, debate, κλπ.)</w:t>
            </w:r>
            <w:r w:rsidDel="00000000" w:rsidR="00000000" w:rsidRPr="00000000">
              <w:rPr>
                <w:rtl w:val="0"/>
              </w:rPr>
            </w:r>
          </w:p>
        </w:tc>
      </w:tr>
    </w:tbl>
    <w:p w:rsidR="00000000" w:rsidDel="00000000" w:rsidP="00000000" w:rsidRDefault="00000000" w:rsidRPr="00000000" w14:paraId="0000008B">
      <w:pPr>
        <w:widowControl w:val="0"/>
        <w:numPr>
          <w:ilvl w:val="0"/>
          <w:numId w:val="7"/>
        </w:numPr>
        <w:spacing w:after="200" w:before="240" w:line="276" w:lineRule="auto"/>
        <w:ind w:left="357" w:hanging="357"/>
        <w:rPr>
          <w:rFonts w:ascii="Calibri" w:cs="Calibri" w:eastAsia="Calibri" w:hAnsi="Calibri"/>
          <w:i w:val="0"/>
          <w:sz w:val="20"/>
          <w:szCs w:val="20"/>
          <w:vertAlign w:val="baseline"/>
        </w:rPr>
      </w:pPr>
      <w:r w:rsidDel="00000000" w:rsidR="00000000" w:rsidRPr="00000000">
        <w:rPr>
          <w:rFonts w:ascii="Calibri" w:cs="Calibri" w:eastAsia="Calibri" w:hAnsi="Calibri"/>
          <w:b w:val="1"/>
          <w:sz w:val="20"/>
          <w:szCs w:val="20"/>
          <w:vertAlign w:val="baseline"/>
          <w:rtl w:val="0"/>
        </w:rPr>
        <w:t xml:space="preserve">ΣΥΝΙΣΤΩΜΕΝΗ ΒΙΒΛΙΟΓΡΑΦΙΑ</w:t>
      </w:r>
      <w:r w:rsidDel="00000000" w:rsidR="00000000" w:rsidRPr="00000000">
        <w:rPr>
          <w:rtl w:val="0"/>
        </w:rPr>
      </w:r>
    </w:p>
    <w:tbl>
      <w:tblPr>
        <w:tblStyle w:val="Table6"/>
        <w:tblW w:w="8532.0" w:type="dxa"/>
        <w:jc w:val="left"/>
        <w:tblInd w:w="-138.0" w:type="dxa"/>
        <w:tblLayout w:type="fixed"/>
        <w:tblLook w:val="0000"/>
      </w:tblPr>
      <w:tblGrid>
        <w:gridCol w:w="8532"/>
        <w:tblGridChange w:id="0">
          <w:tblGrid>
            <w:gridCol w:w="85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C">
            <w:pPr>
              <w:numPr>
                <w:ilvl w:val="0"/>
                <w:numId w:val="4"/>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Houssaye, J. (επιμ.) (2000). </w:t>
            </w:r>
            <w:r w:rsidDel="00000000" w:rsidR="00000000" w:rsidRPr="00000000">
              <w:rPr>
                <w:rFonts w:ascii="Calibri" w:cs="Calibri" w:eastAsia="Calibri" w:hAnsi="Calibri"/>
                <w:i w:val="1"/>
                <w:sz w:val="20"/>
                <w:szCs w:val="20"/>
                <w:vertAlign w:val="baseline"/>
                <w:rtl w:val="0"/>
              </w:rPr>
              <w:t xml:space="preserve">Δεκαπέντε Παιδαγωγοί: Σταθμοί στην Ιστορία της Παιδαγωγικής Σκέψης</w:t>
            </w:r>
            <w:r w:rsidDel="00000000" w:rsidR="00000000" w:rsidRPr="00000000">
              <w:rPr>
                <w:rFonts w:ascii="Calibri" w:cs="Calibri" w:eastAsia="Calibri" w:hAnsi="Calibri"/>
                <w:sz w:val="20"/>
                <w:szCs w:val="20"/>
                <w:vertAlign w:val="baseline"/>
                <w:rtl w:val="0"/>
              </w:rPr>
              <w:t xml:space="preserve">. Αθήνα: Εκδόσεις Μεταίχμιο.</w:t>
            </w:r>
          </w:p>
          <w:p w:rsidR="00000000" w:rsidDel="00000000" w:rsidP="00000000" w:rsidRDefault="00000000" w:rsidRPr="00000000" w14:paraId="0000008D">
            <w:pPr>
              <w:numPr>
                <w:ilvl w:val="0"/>
                <w:numId w:val="4"/>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Ξωχέλλης, Π. (2018). </w:t>
            </w:r>
            <w:r w:rsidDel="00000000" w:rsidR="00000000" w:rsidRPr="00000000">
              <w:rPr>
                <w:rFonts w:ascii="Calibri" w:cs="Calibri" w:eastAsia="Calibri" w:hAnsi="Calibri"/>
                <w:i w:val="1"/>
                <w:sz w:val="20"/>
                <w:szCs w:val="20"/>
                <w:vertAlign w:val="baseline"/>
                <w:rtl w:val="0"/>
              </w:rPr>
              <w:t xml:space="preserve">Εισαγωγή στην Παιδαγωγική: Θεμελιώδη Προβλήματα της Παιδαγωγικής Επιστήμη</w:t>
            </w:r>
            <w:r w:rsidDel="00000000" w:rsidR="00000000" w:rsidRPr="00000000">
              <w:rPr>
                <w:rFonts w:ascii="Calibri" w:cs="Calibri" w:eastAsia="Calibri" w:hAnsi="Calibri"/>
                <w:sz w:val="20"/>
                <w:szCs w:val="20"/>
                <w:vertAlign w:val="baseline"/>
                <w:rtl w:val="0"/>
              </w:rPr>
              <w:t xml:space="preserve">ς. Αθήνα: ΑΦΟΙ ΚΥΡΙΑΚΙΔΗ ΕΚΔΟΣΕΙΣ Α.Ε.</w:t>
            </w:r>
          </w:p>
          <w:p w:rsidR="00000000" w:rsidDel="00000000" w:rsidP="00000000" w:rsidRDefault="00000000" w:rsidRPr="00000000" w14:paraId="0000008E">
            <w:pPr>
              <w:numPr>
                <w:ilvl w:val="0"/>
                <w:numId w:val="4"/>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Πυργιωτάκης, Ι. (2011). </w:t>
            </w:r>
            <w:r w:rsidDel="00000000" w:rsidR="00000000" w:rsidRPr="00000000">
              <w:rPr>
                <w:rFonts w:ascii="Calibri" w:cs="Calibri" w:eastAsia="Calibri" w:hAnsi="Calibri"/>
                <w:i w:val="1"/>
                <w:sz w:val="20"/>
                <w:szCs w:val="20"/>
                <w:vertAlign w:val="baseline"/>
                <w:rtl w:val="0"/>
              </w:rPr>
              <w:t xml:space="preserve">Εισαγωγή στην Παιδαγωγική Επιστήμη</w:t>
            </w:r>
            <w:r w:rsidDel="00000000" w:rsidR="00000000" w:rsidRPr="00000000">
              <w:rPr>
                <w:rFonts w:ascii="Calibri" w:cs="Calibri" w:eastAsia="Calibri" w:hAnsi="Calibri"/>
                <w:sz w:val="20"/>
                <w:szCs w:val="20"/>
                <w:vertAlign w:val="baseline"/>
                <w:rtl w:val="0"/>
              </w:rPr>
              <w:t xml:space="preserve">. Αθήνα: Πεδίο Εκδοτική Α.Ε.</w:t>
            </w:r>
          </w:p>
          <w:p w:rsidR="00000000" w:rsidDel="00000000" w:rsidP="00000000" w:rsidRDefault="00000000" w:rsidRPr="00000000" w14:paraId="0000008F">
            <w:pPr>
              <w:numPr>
                <w:ilvl w:val="0"/>
                <w:numId w:val="4"/>
              </w:numPr>
              <w:ind w:left="720" w:hanging="360"/>
              <w:jc w:val="both"/>
              <w:rPr>
                <w:rFonts w:ascii="Calibri" w:cs="Calibri" w:eastAsia="Calibri" w:hAnsi="Calibri"/>
                <w:i w:val="0"/>
                <w:sz w:val="20"/>
                <w:szCs w:val="20"/>
                <w:vertAlign w:val="baseline"/>
              </w:rPr>
            </w:pPr>
            <w:r w:rsidDel="00000000" w:rsidR="00000000" w:rsidRPr="00000000">
              <w:rPr>
                <w:rFonts w:ascii="Calibri" w:cs="Calibri" w:eastAsia="Calibri" w:hAnsi="Calibri"/>
                <w:sz w:val="20"/>
                <w:szCs w:val="20"/>
                <w:vertAlign w:val="baseline"/>
                <w:rtl w:val="0"/>
              </w:rPr>
              <w:t xml:space="preserve">Illeris, Κ. (2016). </w:t>
            </w:r>
            <w:r w:rsidDel="00000000" w:rsidR="00000000" w:rsidRPr="00000000">
              <w:rPr>
                <w:rFonts w:ascii="Calibri" w:cs="Calibri" w:eastAsia="Calibri" w:hAnsi="Calibri"/>
                <w:i w:val="1"/>
                <w:sz w:val="20"/>
                <w:szCs w:val="20"/>
                <w:vertAlign w:val="baseline"/>
                <w:rtl w:val="0"/>
              </w:rPr>
              <w:t xml:space="preserve">Ο τρόπος που μαθαίνουμε: Οι πολλαπλές Διαστάσεις της μάθησης στην τυπική και άτυπη εκπαίδευση</w:t>
            </w:r>
            <w:r w:rsidDel="00000000" w:rsidR="00000000" w:rsidRPr="00000000">
              <w:rPr>
                <w:rFonts w:ascii="Calibri" w:cs="Calibri" w:eastAsia="Calibri" w:hAnsi="Calibri"/>
                <w:sz w:val="20"/>
                <w:szCs w:val="20"/>
                <w:vertAlign w:val="baseline"/>
                <w:rtl w:val="0"/>
              </w:rPr>
              <w:t xml:space="preserve">. Αθήνα: Μεταίχμιο</w:t>
            </w:r>
            <w:r w:rsidDel="00000000" w:rsidR="00000000" w:rsidRPr="00000000">
              <w:rPr>
                <w:rtl w:val="0"/>
              </w:rPr>
            </w:r>
          </w:p>
          <w:p w:rsidR="00000000" w:rsidDel="00000000" w:rsidP="00000000" w:rsidRDefault="00000000" w:rsidRPr="00000000" w14:paraId="00000090">
            <w:pPr>
              <w:jc w:val="both"/>
              <w:rPr>
                <w:rFonts w:ascii="Calibri" w:cs="Calibri" w:eastAsia="Calibri" w:hAnsi="Calibri"/>
                <w:i w:val="0"/>
                <w:sz w:val="20"/>
                <w:szCs w:val="20"/>
                <w:vertAlign w:val="baseline"/>
              </w:rPr>
            </w:pPr>
            <w:r w:rsidDel="00000000" w:rsidR="00000000" w:rsidRPr="00000000">
              <w:rPr>
                <w:rtl w:val="0"/>
              </w:rPr>
            </w:r>
          </w:p>
          <w:p w:rsidR="00000000" w:rsidDel="00000000" w:rsidP="00000000" w:rsidRDefault="00000000" w:rsidRPr="00000000" w14:paraId="00000091">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Συναφή επιστημονικά περιοδικά:</w:t>
            </w:r>
          </w:p>
          <w:p w:rsidR="00000000" w:rsidDel="00000000" w:rsidP="00000000" w:rsidRDefault="00000000" w:rsidRPr="00000000" w14:paraId="00000092">
            <w:pPr>
              <w:numPr>
                <w:ilvl w:val="0"/>
                <w:numId w:val="5"/>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Σύγχρονη Εκπαίδευση</w:t>
            </w:r>
          </w:p>
          <w:p w:rsidR="00000000" w:rsidDel="00000000" w:rsidP="00000000" w:rsidRDefault="00000000" w:rsidRPr="00000000" w14:paraId="00000093">
            <w:pPr>
              <w:numPr>
                <w:ilvl w:val="0"/>
                <w:numId w:val="5"/>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Ο Μέντορας</w:t>
            </w:r>
          </w:p>
          <w:p w:rsidR="00000000" w:rsidDel="00000000" w:rsidP="00000000" w:rsidRDefault="00000000" w:rsidRPr="00000000" w14:paraId="00000094">
            <w:pPr>
              <w:numPr>
                <w:ilvl w:val="0"/>
                <w:numId w:val="5"/>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Παιδαγωγική Επιθεώρηση</w:t>
            </w:r>
          </w:p>
          <w:p w:rsidR="00000000" w:rsidDel="00000000" w:rsidP="00000000" w:rsidRDefault="00000000" w:rsidRPr="00000000" w14:paraId="00000095">
            <w:pPr>
              <w:numPr>
                <w:ilvl w:val="0"/>
                <w:numId w:val="5"/>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Νέα Παιδεία</w:t>
            </w:r>
          </w:p>
          <w:p w:rsidR="00000000" w:rsidDel="00000000" w:rsidP="00000000" w:rsidRDefault="00000000" w:rsidRPr="00000000" w14:paraId="00000096">
            <w:pPr>
              <w:numPr>
                <w:ilvl w:val="0"/>
                <w:numId w:val="5"/>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Journal of Pedagogy</w:t>
            </w:r>
          </w:p>
          <w:p w:rsidR="00000000" w:rsidDel="00000000" w:rsidP="00000000" w:rsidRDefault="00000000" w:rsidRPr="00000000" w14:paraId="00000097">
            <w:pPr>
              <w:numPr>
                <w:ilvl w:val="0"/>
                <w:numId w:val="5"/>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Pedagogies: An International Journal</w:t>
            </w:r>
          </w:p>
          <w:p w:rsidR="00000000" w:rsidDel="00000000" w:rsidP="00000000" w:rsidRDefault="00000000" w:rsidRPr="00000000" w14:paraId="00000098">
            <w:pPr>
              <w:numPr>
                <w:ilvl w:val="0"/>
                <w:numId w:val="5"/>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Journal of Pedagogical Research</w:t>
            </w:r>
          </w:p>
          <w:p w:rsidR="00000000" w:rsidDel="00000000" w:rsidP="00000000" w:rsidRDefault="00000000" w:rsidRPr="00000000" w14:paraId="00000099">
            <w:pPr>
              <w:numPr>
                <w:ilvl w:val="0"/>
                <w:numId w:val="5"/>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New Directions for Teaching and Learning</w:t>
            </w:r>
          </w:p>
          <w:p w:rsidR="00000000" w:rsidDel="00000000" w:rsidP="00000000" w:rsidRDefault="00000000" w:rsidRPr="00000000" w14:paraId="0000009A">
            <w:pPr>
              <w:numPr>
                <w:ilvl w:val="0"/>
                <w:numId w:val="5"/>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Designs for Learning</w:t>
            </w:r>
          </w:p>
          <w:p w:rsidR="00000000" w:rsidDel="00000000" w:rsidP="00000000" w:rsidRDefault="00000000" w:rsidRPr="00000000" w14:paraId="0000009B">
            <w:pPr>
              <w:jc w:val="both"/>
              <w:rPr>
                <w:rFonts w:ascii="Calibri" w:cs="Calibri" w:eastAsia="Calibri" w:hAnsi="Calibri"/>
                <w:sz w:val="20"/>
                <w:szCs w:val="20"/>
                <w:vertAlign w:val="baseline"/>
              </w:rPr>
            </w:pPr>
            <w:r w:rsidDel="00000000" w:rsidR="00000000" w:rsidRPr="00000000">
              <w:rPr>
                <w:rtl w:val="0"/>
              </w:rPr>
            </w:r>
          </w:p>
        </w:tc>
      </w:tr>
    </w:tbl>
    <w:p w:rsidR="00000000" w:rsidDel="00000000" w:rsidP="00000000" w:rsidRDefault="00000000" w:rsidRPr="00000000" w14:paraId="0000009C">
      <w:pPr>
        <w:rPr>
          <w:rFonts w:ascii="Calibri" w:cs="Calibri" w:eastAsia="Calibri" w:hAnsi="Calibri"/>
          <w:sz w:val="20"/>
          <w:szCs w:val="20"/>
          <w:vertAlign w:val="baseline"/>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Noto Sans Symbols" w:cs="Noto Sans Symbols" w:eastAsia="Noto Sans Symbols" w:hAnsi="Noto Sans Symbols"/>
        <w:b w:val="1"/>
        <w:i w:val="0"/>
        <w:color w:val="002060"/>
        <w:sz w:val="22"/>
        <w:szCs w:val="22"/>
        <w:vertAlign w:val="baseline"/>
      </w:rPr>
    </w:lvl>
    <w:lvl w:ilvl="1">
      <w:start w:val="1"/>
      <w:numFmt w:val="lowerLetter"/>
      <w:lvlText w:val="%2."/>
      <w:lvlJc w:val="left"/>
      <w:pPr>
        <w:ind w:left="1440" w:hanging="360"/>
      </w:pPr>
      <w:rPr>
        <w:rFonts w:ascii="Courier New" w:cs="Courier New" w:eastAsia="Courier New" w:hAnsi="Courier New"/>
        <w:vertAlign w:val="baseline"/>
      </w:rPr>
    </w:lvl>
    <w:lvl w:ilvl="2">
      <w:start w:val="1"/>
      <w:numFmt w:val="lowerRoman"/>
      <w:lvlText w:val="%3."/>
      <w:lvlJc w:val="right"/>
      <w:pPr>
        <w:ind w:left="2160" w:hanging="180"/>
      </w:pPr>
      <w:rPr>
        <w:rFonts w:ascii="Courier New" w:cs="Courier New" w:eastAsia="Courier New" w:hAnsi="Courier New"/>
        <w:vertAlign w:val="baseline"/>
      </w:rPr>
    </w:lvl>
    <w:lvl w:ilvl="3">
      <w:start w:val="1"/>
      <w:numFmt w:val="decimal"/>
      <w:lvlText w:val="%4."/>
      <w:lvlJc w:val="left"/>
      <w:pPr>
        <w:ind w:left="2880" w:hanging="360"/>
      </w:pPr>
      <w:rPr>
        <w:rFonts w:ascii="Courier New" w:cs="Courier New" w:eastAsia="Courier New" w:hAnsi="Courier New"/>
        <w:vertAlign w:val="baseline"/>
      </w:rPr>
    </w:lvl>
    <w:lvl w:ilvl="4">
      <w:start w:val="1"/>
      <w:numFmt w:val="lowerLetter"/>
      <w:lvlText w:val="%5."/>
      <w:lvlJc w:val="left"/>
      <w:pPr>
        <w:ind w:left="3600" w:hanging="360"/>
      </w:pPr>
      <w:rPr>
        <w:rFonts w:ascii="Courier New" w:cs="Courier New" w:eastAsia="Courier New" w:hAnsi="Courier New"/>
        <w:vertAlign w:val="baseline"/>
      </w:rPr>
    </w:lvl>
    <w:lvl w:ilvl="5">
      <w:start w:val="1"/>
      <w:numFmt w:val="lowerRoman"/>
      <w:lvlText w:val="%6."/>
      <w:lvlJc w:val="right"/>
      <w:pPr>
        <w:ind w:left="4320" w:hanging="180"/>
      </w:pPr>
      <w:rPr>
        <w:rFonts w:ascii="Courier New" w:cs="Courier New" w:eastAsia="Courier New" w:hAnsi="Courier New"/>
        <w:vertAlign w:val="baseline"/>
      </w:rPr>
    </w:lvl>
    <w:lvl w:ilvl="6">
      <w:start w:val="1"/>
      <w:numFmt w:val="decimal"/>
      <w:lvlText w:val="%7."/>
      <w:lvlJc w:val="left"/>
      <w:pPr>
        <w:ind w:left="5040" w:hanging="360"/>
      </w:pPr>
      <w:rPr>
        <w:rFonts w:ascii="Courier New" w:cs="Courier New" w:eastAsia="Courier New" w:hAnsi="Courier New"/>
        <w:vertAlign w:val="baseline"/>
      </w:rPr>
    </w:lvl>
    <w:lvl w:ilvl="7">
      <w:start w:val="1"/>
      <w:numFmt w:val="lowerLetter"/>
      <w:lvlText w:val="%8."/>
      <w:lvlJc w:val="left"/>
      <w:pPr>
        <w:ind w:left="5760" w:hanging="360"/>
      </w:pPr>
      <w:rPr>
        <w:rFonts w:ascii="Courier New" w:cs="Courier New" w:eastAsia="Courier New" w:hAnsi="Courier New"/>
        <w:vertAlign w:val="baseline"/>
      </w:rPr>
    </w:lvl>
    <w:lvl w:ilvl="8">
      <w:start w:val="1"/>
      <w:numFmt w:val="lowerRoman"/>
      <w:lvlText w:val="%9."/>
      <w:lvlJc w:val="right"/>
      <w:pPr>
        <w:ind w:left="6480" w:hanging="180"/>
      </w:pPr>
      <w:rPr>
        <w:rFonts w:ascii="Courier New" w:cs="Courier New" w:eastAsia="Courier New" w:hAnsi="Courier New"/>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Symbol" w:cs="Symbol" w:hAnsi="Symbol" w:hint="default"/>
      <w:color w:val="002060"/>
      <w:w w:val="100"/>
      <w:position w:val="-1"/>
      <w:sz w:val="22"/>
      <w:szCs w:val="22"/>
      <w:effect w:val="none"/>
      <w:vertAlign w:val="baseline"/>
      <w:cs w:val="0"/>
      <w:em w:val="none"/>
      <w:lang w:val="el-GR"/>
    </w:rPr>
  </w:style>
  <w:style w:type="character" w:styleId="WW8Num1z1">
    <w:name w:val="WW8Num1z1"/>
    <w:next w:val="WW8Num1z1"/>
    <w:autoRedefine w:val="0"/>
    <w:hidden w:val="0"/>
    <w:qFormat w:val="0"/>
    <w:rPr>
      <w:rFonts w:ascii="Courier New" w:cs="Courier New" w:hAnsi="Courier New" w:hint="default"/>
      <w:w w:val="100"/>
      <w:position w:val="-1"/>
      <w:effect w:val="none"/>
      <w:vertAlign w:val="baseline"/>
      <w:cs w:val="0"/>
      <w:em w:val="none"/>
      <w:lang/>
    </w:rPr>
  </w:style>
  <w:style w:type="character" w:styleId="WW8Num2z0">
    <w:name w:val="WW8Num2z0"/>
    <w:next w:val="WW8Num2z0"/>
    <w:autoRedefine w:val="0"/>
    <w:hidden w:val="0"/>
    <w:qFormat w:val="0"/>
    <w:rPr>
      <w:rFonts w:ascii="Calibri" w:cs="Times New Roman" w:hAnsi="Calibri"/>
      <w:b w:val="1"/>
      <w:color w:val="000000"/>
      <w:w w:val="100"/>
      <w:position w:val="-1"/>
      <w:sz w:val="22"/>
      <w:szCs w:val="22"/>
      <w:effect w:val="none"/>
      <w:vertAlign w:val="baseline"/>
      <w:cs w:val="0"/>
      <w:em w:val="none"/>
      <w:lang w:val="el-GR"/>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rFonts w:ascii="Symbol" w:cs="Symbol" w:hAnsi="Symbol" w:hint="default"/>
      <w:color w:val="002060"/>
      <w:w w:val="100"/>
      <w:position w:val="-1"/>
      <w:sz w:val="20"/>
      <w:szCs w:val="20"/>
      <w:effect w:val="none"/>
      <w:vertAlign w:val="baseline"/>
      <w:cs w:val="0"/>
      <w:em w:val="none"/>
      <w:lang w:val="el-GR"/>
    </w:rPr>
  </w:style>
  <w:style w:type="character" w:styleId="WW8Num3z1">
    <w:name w:val="WW8Num3z1"/>
    <w:next w:val="WW8Num3z1"/>
    <w:autoRedefine w:val="0"/>
    <w:hidden w:val="0"/>
    <w:qFormat w:val="0"/>
    <w:rPr>
      <w:rFonts w:ascii="Courier New" w:cs="Courier New" w:hAnsi="Courier New" w:hint="default"/>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hint="default"/>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rFonts w:ascii="Symbol" w:cs="Symbol" w:hAnsi="Symbol" w:hint="default"/>
      <w:w w:val="100"/>
      <w:position w:val="-1"/>
      <w:effect w:val="none"/>
      <w:vertAlign w:val="baseline"/>
      <w:cs w:val="0"/>
      <w:em w:val="none"/>
      <w:lang/>
    </w:rPr>
  </w:style>
  <w:style w:type="character" w:styleId="WW8Num4z1">
    <w:name w:val="WW8Num4z1"/>
    <w:next w:val="WW8Num4z1"/>
    <w:autoRedefine w:val="0"/>
    <w:hidden w:val="0"/>
    <w:qFormat w:val="0"/>
    <w:rPr>
      <w:rFonts w:ascii="Courier New" w:cs="Courier New" w:hAnsi="Courier New" w:hint="default"/>
      <w:w w:val="100"/>
      <w:position w:val="-1"/>
      <w:effect w:val="none"/>
      <w:vertAlign w:val="baseline"/>
      <w:cs w:val="0"/>
      <w:em w:val="none"/>
      <w:lang/>
    </w:rPr>
  </w:style>
  <w:style w:type="character" w:styleId="WW8Num4z2">
    <w:name w:val="WW8Num4z2"/>
    <w:next w:val="WW8Num4z2"/>
    <w:autoRedefine w:val="0"/>
    <w:hidden w:val="0"/>
    <w:qFormat w:val="0"/>
    <w:rPr>
      <w:rFonts w:ascii="Wingdings" w:cs="Wingdings" w:hAnsi="Wingdings" w:hint="default"/>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rFonts w:ascii="Calibri" w:cs="Times New Roman" w:hAnsi="Calibri"/>
      <w:b w:val="1"/>
      <w:i w:val="1"/>
      <w:iCs w:val="1"/>
      <w:color w:val="000000"/>
      <w:w w:val="100"/>
      <w:position w:val="-1"/>
      <w:sz w:val="22"/>
      <w:szCs w:val="22"/>
      <w:effect w:val="none"/>
      <w:vertAlign w:val="baseline"/>
      <w:cs w:val="0"/>
      <w:em w:val="none"/>
      <w:lang w:val="el-GR"/>
    </w:rPr>
  </w:style>
  <w:style w:type="character" w:styleId="WW8Num5z1">
    <w:name w:val="WW8Num5z1"/>
    <w:next w:val="WW8Num5z1"/>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rFonts w:ascii="Symbol" w:cs="Symbol" w:hAnsi="Symbol" w:hint="default"/>
      <w:color w:val="002060"/>
      <w:w w:val="100"/>
      <w:position w:val="-1"/>
      <w:sz w:val="20"/>
      <w:szCs w:val="20"/>
      <w:effect w:val="none"/>
      <w:vertAlign w:val="baseline"/>
      <w:cs w:val="0"/>
      <w:em w:val="none"/>
      <w:lang w:val="el-GR"/>
    </w:rPr>
  </w:style>
  <w:style w:type="character" w:styleId="WW8Num6z1">
    <w:name w:val="WW8Num6z1"/>
    <w:next w:val="WW8Num6z1"/>
    <w:autoRedefine w:val="0"/>
    <w:hidden w:val="0"/>
    <w:qFormat w:val="0"/>
    <w:rPr>
      <w:rFonts w:ascii="Courier New" w:cs="Courier New" w:hAnsi="Courier New" w:hint="default"/>
      <w:w w:val="100"/>
      <w:position w:val="-1"/>
      <w:effect w:val="none"/>
      <w:vertAlign w:val="baseline"/>
      <w:cs w:val="0"/>
      <w:em w:val="none"/>
      <w:lang/>
    </w:rPr>
  </w:style>
  <w:style w:type="character" w:styleId="WW8Num6z2">
    <w:name w:val="WW8Num6z2"/>
    <w:next w:val="WW8Num6z2"/>
    <w:autoRedefine w:val="0"/>
    <w:hidden w:val="0"/>
    <w:qFormat w:val="0"/>
    <w:rPr>
      <w:rFonts w:ascii="Wingdings" w:cs="Wingdings" w:hAnsi="Wingdings" w:hint="default"/>
      <w:w w:val="100"/>
      <w:position w:val="-1"/>
      <w:effect w:val="none"/>
      <w:vertAlign w:val="baseline"/>
      <w:cs w:val="0"/>
      <w:em w:val="none"/>
      <w:lang/>
    </w:rPr>
  </w:style>
  <w:style w:type="character" w:styleId="Προεπιλεγμένηγραμματοσειρά2">
    <w:name w:val="Προεπιλεγμένη γραμματοσειρά2"/>
    <w:next w:val="Προεπιλεγμένηγραμματοσειρά2"/>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rFonts w:ascii="Wingdings" w:cs="Wingdings" w:hAnsi="Wingdings" w:hint="default"/>
      <w:w w:val="100"/>
      <w:position w:val="-1"/>
      <w:effect w:val="none"/>
      <w:vertAlign w:val="baseline"/>
      <w:cs w:val="0"/>
      <w:em w:val="none"/>
      <w:lang/>
    </w:rPr>
  </w:style>
  <w:style w:type="character" w:styleId="Προεπιλεγμένηγραμματοσειρά1">
    <w:name w:val="Προεπιλεγμένη γραμματοσειρά1"/>
    <w:next w:val="Προεπιλεγμένηγραμματοσειρά1"/>
    <w:autoRedefine w:val="0"/>
    <w:hidden w:val="0"/>
    <w:qFormat w:val="0"/>
    <w:rPr>
      <w:w w:val="100"/>
      <w:position w:val="-1"/>
      <w:effect w:val="none"/>
      <w:vertAlign w:val="baseline"/>
      <w:cs w:val="0"/>
      <w:em w:val="none"/>
      <w:lang/>
    </w:rPr>
  </w:style>
  <w:style w:type="character" w:styleId="Bullets">
    <w:name w:val="Bullets"/>
    <w:next w:val="Bullets"/>
    <w:autoRedefine w:val="0"/>
    <w:hidden w:val="0"/>
    <w:qFormat w:val="0"/>
    <w:rPr>
      <w:rFonts w:ascii="OpenSymbol" w:cs="OpenSymbol" w:eastAsia="OpenSymbol" w:hAnsi="OpenSymbol"/>
      <w:w w:val="100"/>
      <w:position w:val="-1"/>
      <w:effect w:val="none"/>
      <w:vertAlign w:val="baseline"/>
      <w:cs w:val="0"/>
      <w:em w:val="none"/>
      <w:lang/>
    </w:rPr>
  </w:style>
  <w:style w:type="character" w:styleId="NumberingSymbols">
    <w:name w:val="Numbering Symbols"/>
    <w:next w:val="NumberingSymbols"/>
    <w:autoRedefine w:val="0"/>
    <w:hidden w:val="0"/>
    <w:qFormat w:val="0"/>
    <w:rPr>
      <w:w w:val="100"/>
      <w:position w:val="-1"/>
      <w:effect w:val="none"/>
      <w:vertAlign w:val="baseline"/>
      <w:cs w:val="0"/>
      <w:em w:val="none"/>
      <w:lang/>
    </w:rPr>
  </w:style>
  <w:style w:type="paragraph" w:styleId="Heading">
    <w:name w:val="Heading"/>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Arial Unicode MS" w:eastAsia="Arial Unicode MS" w:hAnsi="Arial"/>
      <w:w w:val="100"/>
      <w:position w:val="-1"/>
      <w:sz w:val="28"/>
      <w:szCs w:val="28"/>
      <w:effect w:val="none"/>
      <w:vertAlign w:val="baseline"/>
      <w:cs w:val="0"/>
      <w:em w:val="none"/>
      <w:lang w:bidi="ar-SA" w:eastAsia="ar-SA" w:val="en-US"/>
    </w:rPr>
  </w:style>
  <w:style w:type="paragraph" w:styleId="BodyText">
    <w:name w:val="Body Text"/>
    <w:basedOn w:val="Normal"/>
    <w:next w:val="BodyText"/>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List">
    <w:name w:val="List"/>
    <w:basedOn w:val="BodyText"/>
    <w:next w:val="List"/>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Caption1">
    <w:name w:val="Caption1"/>
    <w:basedOn w:val="Normal"/>
    <w:next w:val="Caption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en-US"/>
    </w:rPr>
  </w:style>
  <w:style w:type="paragraph" w:styleId="Index">
    <w:name w:val="Index"/>
    <w:basedOn w:val="Normal"/>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TableContents">
    <w:name w:val="Table Contents"/>
    <w:basedOn w:val="Normal"/>
    <w:next w:val="TableContents"/>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TableHeading">
    <w:name w:val="Table Heading"/>
    <w:basedOn w:val="TableContents"/>
    <w:next w:val="TableHeading"/>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ar-SA"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VxOdNN488kpI3NrQ5R6sZR0zQw==">CgMxLjA4AHIhMTdPbkVrWl9uRlZpMVlQOTduWkNYdm5ULV9lZVlpRGsy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2020-04-01T15:54:00Z</dcterms:created>
  <dc:creator>Makris</dc:creator>
</cp:coreProperties>
</file>