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22" w:rsidRPr="000E5A4A" w:rsidRDefault="00AC0322" w:rsidP="00F028C0">
      <w:pPr>
        <w:spacing w:after="0"/>
        <w:rPr>
          <w:rFonts w:cstheme="minorHAnsi"/>
          <w:b/>
          <w:sz w:val="32"/>
          <w:szCs w:val="32"/>
          <w:lang w:val="el-GR"/>
        </w:rPr>
      </w:pPr>
      <w:r>
        <w:rPr>
          <w:rFonts w:cstheme="minorHAnsi"/>
          <w:b/>
          <w:noProof/>
          <w:sz w:val="32"/>
          <w:szCs w:val="32"/>
          <w:lang w:val="el-GR" w:eastAsia="ja-JP"/>
        </w:rPr>
        <w:drawing>
          <wp:anchor distT="0" distB="0" distL="114300" distR="114300" simplePos="0" relativeHeight="251659264" behindDoc="1" locked="0" layoutInCell="1" allowOverlap="1" wp14:anchorId="229DEEF5" wp14:editId="1FE502A6">
            <wp:simplePos x="0" y="0"/>
            <wp:positionH relativeFrom="column">
              <wp:posOffset>-108585</wp:posOffset>
            </wp:positionH>
            <wp:positionV relativeFrom="paragraph">
              <wp:posOffset>-7620</wp:posOffset>
            </wp:positionV>
            <wp:extent cx="97155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76" y="20965"/>
                <wp:lineTo x="21176" y="0"/>
                <wp:lineTo x="0" y="0"/>
              </wp:wrapPolygon>
            </wp:wrapTight>
            <wp:docPr id="3" name="Picture 3" descr="C:\Users\Embassy of Japan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bassy of Japan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9A2" w:rsidRPr="007519A2">
        <w:rPr>
          <w:rFonts w:cstheme="minorHAnsi"/>
          <w:b/>
          <w:sz w:val="32"/>
          <w:szCs w:val="32"/>
          <w:lang w:val="el-GR"/>
        </w:rPr>
        <w:br/>
      </w:r>
      <w:r w:rsidRPr="00AF7EC5">
        <w:rPr>
          <w:rFonts w:cstheme="minorHAnsi"/>
          <w:b/>
          <w:sz w:val="32"/>
          <w:szCs w:val="32"/>
          <w:lang w:val="el-GR"/>
        </w:rPr>
        <w:t xml:space="preserve">       </w:t>
      </w:r>
      <w:r w:rsidR="00807E27">
        <w:rPr>
          <w:rFonts w:cstheme="minorHAnsi"/>
          <w:b/>
          <w:sz w:val="32"/>
          <w:szCs w:val="32"/>
          <w:lang w:val="el-GR"/>
        </w:rPr>
        <w:t xml:space="preserve">                  </w:t>
      </w:r>
      <w:r w:rsidR="001312CE">
        <w:rPr>
          <w:rFonts w:cstheme="minorHAnsi"/>
          <w:b/>
          <w:sz w:val="32"/>
          <w:szCs w:val="32"/>
          <w:lang w:val="el-GR"/>
        </w:rPr>
        <w:t xml:space="preserve">        </w:t>
      </w:r>
      <w:r w:rsidR="00F028C0">
        <w:rPr>
          <w:rFonts w:cstheme="minorHAnsi"/>
          <w:b/>
          <w:sz w:val="32"/>
          <w:szCs w:val="32"/>
          <w:lang w:val="el-GR"/>
        </w:rPr>
        <w:t xml:space="preserve">            </w:t>
      </w:r>
      <w:r w:rsidRPr="000E5A4A">
        <w:rPr>
          <w:rFonts w:cstheme="minorHAnsi"/>
          <w:b/>
          <w:sz w:val="32"/>
          <w:szCs w:val="32"/>
          <w:u w:val="single"/>
          <w:lang w:val="el-GR"/>
        </w:rPr>
        <w:t>Δελτίο Τύπου</w:t>
      </w:r>
    </w:p>
    <w:p w:rsidR="006564A8" w:rsidRDefault="006564A8" w:rsidP="003C4753">
      <w:pPr>
        <w:spacing w:after="0" w:line="240" w:lineRule="auto"/>
        <w:ind w:right="562"/>
        <w:rPr>
          <w:rFonts w:cstheme="minorHAnsi"/>
          <w:b/>
          <w:sz w:val="28"/>
          <w:szCs w:val="28"/>
          <w:lang w:val="el-GR"/>
        </w:rPr>
      </w:pPr>
    </w:p>
    <w:p w:rsidR="006564A8" w:rsidRPr="00226C79" w:rsidRDefault="00AC0322" w:rsidP="003C4753">
      <w:pPr>
        <w:spacing w:after="0" w:line="240" w:lineRule="auto"/>
        <w:ind w:right="562"/>
        <w:jc w:val="center"/>
        <w:rPr>
          <w:rFonts w:ascii="Calibri" w:hAnsi="Calibri" w:cs="Calibri"/>
          <w:sz w:val="28"/>
          <w:szCs w:val="28"/>
          <w:lang w:val="el-GR"/>
        </w:rPr>
      </w:pPr>
      <w:r w:rsidRPr="00FE456D">
        <w:rPr>
          <w:rFonts w:ascii="Calibri" w:hAnsi="Calibri" w:cs="Calibri"/>
          <w:b/>
          <w:sz w:val="28"/>
          <w:szCs w:val="28"/>
          <w:u w:val="single"/>
          <w:lang w:val="el-GR"/>
        </w:rPr>
        <w:t>Προγράμματα υποτροφιών της Ιαπωνι</w:t>
      </w:r>
      <w:r w:rsidR="005E71CD">
        <w:rPr>
          <w:rFonts w:ascii="Calibri" w:hAnsi="Calibri" w:cs="Calibri"/>
          <w:b/>
          <w:sz w:val="28"/>
          <w:szCs w:val="28"/>
          <w:u w:val="single"/>
          <w:lang w:val="el-GR"/>
        </w:rPr>
        <w:t>κή Κυβέρνησης (ΜΕΧΤ) για το 201</w:t>
      </w:r>
      <w:r w:rsidR="00226C79" w:rsidRPr="00226C79">
        <w:rPr>
          <w:rFonts w:ascii="Calibri" w:hAnsi="Calibri" w:cs="Calibri"/>
          <w:b/>
          <w:sz w:val="28"/>
          <w:szCs w:val="28"/>
          <w:u w:val="single"/>
          <w:lang w:val="el-GR"/>
        </w:rPr>
        <w:t>9</w:t>
      </w:r>
    </w:p>
    <w:p w:rsidR="006564A8" w:rsidRPr="00226C79" w:rsidRDefault="006564A8" w:rsidP="003C4753">
      <w:pPr>
        <w:spacing w:after="0" w:line="240" w:lineRule="auto"/>
        <w:ind w:right="562"/>
        <w:jc w:val="right"/>
        <w:rPr>
          <w:rFonts w:ascii="Segoe UI" w:hAnsi="Segoe UI" w:cs="Segoe UI"/>
          <w:sz w:val="24"/>
          <w:szCs w:val="24"/>
          <w:lang w:val="el-GR"/>
        </w:rPr>
      </w:pPr>
      <w:r w:rsidRPr="006564A8">
        <w:rPr>
          <w:rFonts w:ascii="Calibri" w:hAnsi="Calibri" w:cs="Calibri"/>
          <w:sz w:val="24"/>
          <w:szCs w:val="24"/>
          <w:lang w:val="el-GR"/>
        </w:rPr>
        <w:br/>
      </w:r>
      <w:r w:rsidR="00226C79">
        <w:rPr>
          <w:rFonts w:ascii="Segoe UI" w:hAnsi="Segoe UI" w:cs="Segoe UI"/>
          <w:sz w:val="24"/>
          <w:szCs w:val="24"/>
          <w:lang w:val="el-GR"/>
        </w:rPr>
        <w:t xml:space="preserve">Αθήνα, </w:t>
      </w:r>
      <w:r w:rsidR="0042076A">
        <w:rPr>
          <w:rFonts w:ascii="Segoe UI" w:hAnsi="Segoe UI" w:cs="Segoe UI"/>
          <w:sz w:val="24"/>
          <w:szCs w:val="24"/>
        </w:rPr>
        <w:t>26</w:t>
      </w:r>
      <w:r w:rsidR="00226C79">
        <w:rPr>
          <w:rFonts w:ascii="Segoe UI" w:hAnsi="Segoe UI" w:cs="Segoe UI"/>
          <w:sz w:val="24"/>
          <w:szCs w:val="24"/>
          <w:lang w:val="el-GR"/>
        </w:rPr>
        <w:t xml:space="preserve"> Απριλίου 201</w:t>
      </w:r>
      <w:r w:rsidR="00226C79" w:rsidRPr="00226C79">
        <w:rPr>
          <w:rFonts w:ascii="Segoe UI" w:hAnsi="Segoe UI" w:cs="Segoe UI"/>
          <w:sz w:val="24"/>
          <w:szCs w:val="24"/>
          <w:lang w:val="el-GR"/>
        </w:rPr>
        <w:t>8</w:t>
      </w:r>
    </w:p>
    <w:p w:rsidR="00E31B09" w:rsidRDefault="00AC0322" w:rsidP="003C4753">
      <w:pPr>
        <w:spacing w:after="0" w:line="240" w:lineRule="auto"/>
        <w:ind w:right="56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</w:t>
      </w:r>
      <w:r w:rsidRPr="00AC0322">
        <w:rPr>
          <w:rFonts w:cstheme="minorHAnsi"/>
          <w:sz w:val="24"/>
          <w:szCs w:val="24"/>
          <w:lang w:val="el-GR"/>
        </w:rPr>
        <w:t xml:space="preserve"> </w:t>
      </w:r>
      <w:r w:rsidR="006556EC" w:rsidRPr="006556EC">
        <w:rPr>
          <w:rFonts w:cstheme="minorHAnsi"/>
          <w:sz w:val="24"/>
          <w:szCs w:val="24"/>
          <w:lang w:val="el-GR"/>
        </w:rPr>
        <w:t xml:space="preserve"> </w:t>
      </w:r>
    </w:p>
    <w:p w:rsidR="00AC0322" w:rsidRPr="00537A09" w:rsidRDefault="00AC0322" w:rsidP="003C4753">
      <w:pPr>
        <w:spacing w:after="0" w:line="240" w:lineRule="auto"/>
        <w:ind w:right="562"/>
        <w:jc w:val="both"/>
        <w:rPr>
          <w:rFonts w:cstheme="minorHAns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Πρεσβεία της Ιαπωνίας στην Ελλάδα ανακοινώνει ότι η Ιαπωνική Κυβέρνηση (ΜΕΧΤ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 xml:space="preserve">) </w:t>
      </w:r>
      <w:r w:rsidR="003C4753" w:rsidRPr="00A174D9">
        <w:rPr>
          <w:rFonts w:ascii="Segoe UI" w:eastAsia="Calibri" w:hAnsi="Segoe UI" w:cs="Segoe UI"/>
          <w:sz w:val="24"/>
          <w:szCs w:val="24"/>
          <w:lang w:val="el-GR"/>
        </w:rPr>
        <w:t xml:space="preserve">για το 2019 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 xml:space="preserve">πρόκειται να χορηγήσει υποτροφίες σε Έλληνες υπήκοους που επιθυμούν να συνεχίσουν 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τις σπουδές τους σε ιαπωνικά πανεπιστήμια ως προπτυχιακοί φοιτητές (</w:t>
      </w:r>
      <w:r w:rsidRPr="005E71CD">
        <w:rPr>
          <w:rFonts w:ascii="Segoe UI" w:eastAsia="Calibri" w:hAnsi="Segoe UI" w:cs="Segoe UI"/>
          <w:i/>
          <w:sz w:val="24"/>
          <w:szCs w:val="24"/>
        </w:rPr>
        <w:t>undergraduate</w:t>
      </w:r>
      <w:r w:rsidRPr="005E71CD">
        <w:rPr>
          <w:rFonts w:ascii="Segoe UI" w:eastAsia="Calibri" w:hAnsi="Segoe UI" w:cs="Segoe UI"/>
          <w:i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i/>
          <w:sz w:val="24"/>
          <w:szCs w:val="24"/>
        </w:rPr>
        <w:t>students</w:t>
      </w:r>
      <w:r w:rsidR="00226C79">
        <w:rPr>
          <w:rFonts w:ascii="Segoe UI" w:eastAsia="Calibri" w:hAnsi="Segoe UI" w:cs="Segoe UI"/>
          <w:sz w:val="24"/>
          <w:szCs w:val="24"/>
          <w:lang w:val="el-GR"/>
        </w:rPr>
        <w:t>), ηλικίας 17-2</w:t>
      </w:r>
      <w:r w:rsidR="00226C79" w:rsidRPr="00226C79">
        <w:rPr>
          <w:rFonts w:ascii="Segoe UI" w:eastAsia="Calibri" w:hAnsi="Segoe UI" w:cs="Segoe UI"/>
          <w:sz w:val="24"/>
          <w:szCs w:val="24"/>
          <w:lang w:val="el-GR"/>
        </w:rPr>
        <w:t>5</w:t>
      </w:r>
      <w:r w:rsidR="004D27B5"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ετών, 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ή ως ερευνητές</w:t>
      </w:r>
      <w:r w:rsidR="00FA3EEB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FA3EEB" w:rsidRPr="005E71CD">
        <w:rPr>
          <w:rFonts w:ascii="Segoe UI" w:eastAsia="Calibri" w:hAnsi="Segoe UI" w:cs="Segoe UI"/>
          <w:sz w:val="24"/>
          <w:szCs w:val="24"/>
          <w:lang w:val="el-GR"/>
        </w:rPr>
        <w:t>(</w:t>
      </w:r>
      <w:r w:rsidR="00FA3EEB" w:rsidRPr="005E71CD">
        <w:rPr>
          <w:rFonts w:ascii="Segoe UI" w:eastAsia="Calibri" w:hAnsi="Segoe UI" w:cs="Segoe UI"/>
          <w:i/>
          <w:sz w:val="24"/>
          <w:szCs w:val="24"/>
        </w:rPr>
        <w:t>research</w:t>
      </w:r>
      <w:r w:rsidR="00FA3EEB" w:rsidRPr="005E71CD">
        <w:rPr>
          <w:rFonts w:ascii="Segoe UI" w:eastAsia="Calibri" w:hAnsi="Segoe UI" w:cs="Segoe UI"/>
          <w:i/>
          <w:sz w:val="24"/>
          <w:szCs w:val="24"/>
          <w:lang w:val="el-GR"/>
        </w:rPr>
        <w:t xml:space="preserve"> </w:t>
      </w:r>
      <w:r w:rsidR="00FA3EEB" w:rsidRPr="005E71CD">
        <w:rPr>
          <w:rFonts w:ascii="Segoe UI" w:eastAsia="Calibri" w:hAnsi="Segoe UI" w:cs="Segoe UI"/>
          <w:i/>
          <w:sz w:val="24"/>
          <w:szCs w:val="24"/>
        </w:rPr>
        <w:t>students</w:t>
      </w:r>
      <w:r w:rsidR="00FA3EEB" w:rsidRPr="00537A09">
        <w:rPr>
          <w:rFonts w:ascii="Segoe UI" w:eastAsia="Calibri" w:hAnsi="Segoe UI" w:cs="Segoe UI"/>
          <w:sz w:val="24"/>
          <w:szCs w:val="24"/>
          <w:lang w:val="el-GR"/>
        </w:rPr>
        <w:t xml:space="preserve">) </w:t>
      </w:r>
      <w:r w:rsidR="00FA3EEB" w:rsidRPr="00537A09">
        <w:rPr>
          <w:rFonts w:ascii="Segoe UI" w:hAnsi="Segoe UI" w:cs="Segoe UI"/>
          <w:sz w:val="24"/>
          <w:szCs w:val="24"/>
          <w:lang w:val="el-GR" w:eastAsia="ja-JP"/>
        </w:rPr>
        <w:t>για μεταπτυχιακό ή διδακτορικό</w:t>
      </w:r>
      <w:r w:rsidR="00123A3D" w:rsidRPr="00537A09">
        <w:rPr>
          <w:rFonts w:ascii="Segoe UI" w:hAnsi="Segoe UI" w:cs="Segoe UI"/>
          <w:sz w:val="24"/>
          <w:szCs w:val="24"/>
          <w:lang w:val="el-GR" w:eastAsia="ja-JP"/>
        </w:rPr>
        <w:t xml:space="preserve"> τίτλο σπουδών, </w:t>
      </w:r>
      <w:r w:rsidR="00FA3EEB" w:rsidRPr="00537A09">
        <w:rPr>
          <w:rFonts w:ascii="Segoe UI" w:hAnsi="Segoe UI" w:cs="Segoe UI"/>
          <w:sz w:val="24"/>
          <w:szCs w:val="24"/>
          <w:lang w:val="el-GR" w:eastAsia="ja-JP"/>
        </w:rPr>
        <w:t xml:space="preserve"> </w:t>
      </w:r>
      <w:r w:rsidRPr="00537A09">
        <w:rPr>
          <w:rFonts w:ascii="Segoe UI" w:eastAsia="Calibri" w:hAnsi="Segoe UI" w:cs="Segoe UI"/>
          <w:sz w:val="24"/>
          <w:szCs w:val="24"/>
          <w:lang w:val="el-GR"/>
        </w:rPr>
        <w:t>ηλικίας έως 35 ετών.</w:t>
      </w:r>
    </w:p>
    <w:p w:rsidR="00AC0322" w:rsidRPr="00537A09" w:rsidRDefault="00AC0322" w:rsidP="003C4753">
      <w:pPr>
        <w:spacing w:after="0" w:line="240" w:lineRule="auto"/>
        <w:rPr>
          <w:rFonts w:ascii="Segoe UI" w:hAnsi="Segoe UI" w:cs="Segoe UI"/>
          <w:sz w:val="24"/>
          <w:szCs w:val="24"/>
          <w:lang w:val="el-GR"/>
        </w:rPr>
      </w:pPr>
    </w:p>
    <w:p w:rsidR="00FE456D" w:rsidRPr="00537A09" w:rsidRDefault="00AC0322" w:rsidP="003C4753">
      <w:pPr>
        <w:spacing w:after="0" w:line="240" w:lineRule="auto"/>
        <w:ind w:right="4301"/>
        <w:jc w:val="both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Χρ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ό</w:t>
      </w:r>
      <w:r w:rsidRPr="00537A09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ν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ος</w:t>
      </w:r>
      <w:r w:rsidRPr="00537A09">
        <w:rPr>
          <w:rFonts w:ascii="Segoe UI" w:eastAsia="Calibri" w:hAnsi="Segoe UI" w:cs="Segoe UI"/>
          <w:b/>
          <w:bCs/>
          <w:spacing w:val="-9"/>
          <w:sz w:val="24"/>
          <w:szCs w:val="24"/>
          <w:lang w:val="el-GR"/>
        </w:rPr>
        <w:t xml:space="preserve"> 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δ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ά</w:t>
      </w: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37A09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κ</w:t>
      </w: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α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ς</w:t>
      </w:r>
      <w:r w:rsidRPr="00537A09">
        <w:rPr>
          <w:rFonts w:ascii="Segoe UI" w:eastAsia="Calibri" w:hAnsi="Segoe UI" w:cs="Segoe UI"/>
          <w:b/>
          <w:bCs/>
          <w:spacing w:val="-10"/>
          <w:sz w:val="24"/>
          <w:szCs w:val="24"/>
          <w:lang w:val="el-GR"/>
        </w:rPr>
        <w:t xml:space="preserve"> </w:t>
      </w: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υ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π</w:t>
      </w:r>
      <w:r w:rsidRPr="00537A09">
        <w:rPr>
          <w:rFonts w:ascii="Segoe UI" w:eastAsia="Calibri" w:hAnsi="Segoe UI" w:cs="Segoe UI"/>
          <w:b/>
          <w:bCs/>
          <w:spacing w:val="2"/>
          <w:sz w:val="24"/>
          <w:szCs w:val="24"/>
          <w:lang w:val="el-GR"/>
        </w:rPr>
        <w:t>ο</w:t>
      </w: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τρ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φ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ώ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ν</w:t>
      </w:r>
      <w:r w:rsidRPr="00537A09">
        <w:rPr>
          <w:rFonts w:ascii="Segoe UI" w:eastAsia="Calibri" w:hAnsi="Segoe UI" w:cs="Segoe UI"/>
          <w:b/>
          <w:bCs/>
          <w:spacing w:val="-15"/>
          <w:sz w:val="24"/>
          <w:szCs w:val="24"/>
          <w:lang w:val="el-GR"/>
        </w:rPr>
        <w:t xml:space="preserve"> 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α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37A09">
        <w:rPr>
          <w:rFonts w:ascii="Segoe UI" w:eastAsia="Calibri" w:hAnsi="Segoe UI" w:cs="Segoe UI"/>
          <w:b/>
          <w:bCs/>
          <w:spacing w:val="-3"/>
          <w:sz w:val="24"/>
          <w:szCs w:val="24"/>
          <w:lang w:val="el-GR"/>
        </w:rPr>
        <w:t xml:space="preserve"> 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άλ</w:t>
      </w:r>
      <w:r w:rsidRPr="00537A09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υ</w:t>
      </w:r>
      <w:r w:rsidRPr="00537A09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ψη</w:t>
      </w:r>
      <w:r w:rsidRPr="00537A09">
        <w:rPr>
          <w:rFonts w:ascii="Segoe UI" w:eastAsia="Calibri" w:hAnsi="Segoe UI" w:cs="Segoe UI"/>
          <w:b/>
          <w:bCs/>
          <w:sz w:val="24"/>
          <w:szCs w:val="24"/>
          <w:lang w:val="el-GR"/>
        </w:rPr>
        <w:t>:</w:t>
      </w:r>
    </w:p>
    <w:p w:rsidR="00AC0322" w:rsidRPr="005E71CD" w:rsidRDefault="00AC0322" w:rsidP="003C4753">
      <w:pPr>
        <w:spacing w:after="0" w:line="240" w:lineRule="auto"/>
        <w:ind w:right="53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περίοδος φοίτησης για τους προπτυχιακούς σπουδαστές είναι πέντε χρόνια (περιλαμβάνει και ένα χρόνο προετοιμασίας), ε</w:t>
      </w:r>
      <w:r w:rsidR="001D762E">
        <w:rPr>
          <w:rFonts w:ascii="Segoe UI" w:eastAsia="Calibri" w:hAnsi="Segoe UI" w:cs="Segoe UI"/>
          <w:sz w:val="24"/>
          <w:szCs w:val="24"/>
          <w:lang w:val="el-GR"/>
        </w:rPr>
        <w:t>νώ για τους ερευνητές είναι δύο χρόνια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ή ενάμιση χρόνος (περιλαμβάνει και έξι μήνες εκμάθησης της </w:t>
      </w:r>
      <w:r w:rsidRPr="005E71CD">
        <w:rPr>
          <w:rFonts w:ascii="Segoe UI" w:hAnsi="Segoe UI" w:cs="Segoe UI"/>
          <w:sz w:val="24"/>
          <w:szCs w:val="24"/>
          <w:lang w:val="el-GR" w:eastAsia="ja-JP"/>
        </w:rPr>
        <w:t>ιαπωνικής γλώσσας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).</w:t>
      </w:r>
    </w:p>
    <w:p w:rsidR="00AC0322" w:rsidRPr="005E71CD" w:rsidRDefault="00AC0322" w:rsidP="00AC0322">
      <w:pPr>
        <w:spacing w:after="0" w:line="200" w:lineRule="exact"/>
        <w:rPr>
          <w:rFonts w:ascii="Segoe UI" w:hAnsi="Segoe UI" w:cs="Segoe UI"/>
          <w:sz w:val="24"/>
          <w:szCs w:val="24"/>
          <w:lang w:val="el-GR"/>
        </w:rPr>
      </w:pPr>
    </w:p>
    <w:p w:rsidR="00AC0322" w:rsidRPr="005E71CD" w:rsidRDefault="00AC0322" w:rsidP="003C4753">
      <w:pPr>
        <w:spacing w:after="0" w:line="240" w:lineRule="auto"/>
        <w:ind w:right="58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υποτροφία περιλαμβάνει τη μεταφορά προς/από την Ιαπωνία, τα δίδακτρα, τη βίζα σπουδών και ένα μηνιαίο ποσό από το οποίο καλύπτεται και η διαμονή. Το ποσό αυτό προσδιορίζεται στα 117.000 ΓΕΝ (</w:t>
      </w:r>
      <w:r w:rsidR="00F028C0">
        <w:rPr>
          <w:rFonts w:ascii="Segoe UI" w:eastAsia="Calibri" w:hAnsi="Segoe UI" w:cs="Segoe UI"/>
          <w:sz w:val="24"/>
          <w:szCs w:val="24"/>
          <w:lang w:val="el-GR"/>
        </w:rPr>
        <w:t>880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ΕΥΡΩ) για τους προπτυχιακούς φοιτητές και στα 143.000 ΓΕΝ (1.</w:t>
      </w:r>
      <w:r w:rsidR="00F028C0">
        <w:rPr>
          <w:rFonts w:ascii="Segoe UI" w:eastAsia="Calibri" w:hAnsi="Segoe UI" w:cs="Segoe UI"/>
          <w:sz w:val="24"/>
          <w:szCs w:val="24"/>
          <w:lang w:val="el-GR"/>
        </w:rPr>
        <w:t>080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ΕΥΡΩ) για τους μεταπτυχιακούς φοιτητές.</w:t>
      </w:r>
    </w:p>
    <w:p w:rsidR="00AC0322" w:rsidRPr="005E71CD" w:rsidRDefault="00AC0322" w:rsidP="00AC0322">
      <w:pPr>
        <w:spacing w:after="0" w:line="200" w:lineRule="exact"/>
        <w:rPr>
          <w:rFonts w:ascii="Segoe UI" w:hAnsi="Segoe UI" w:cs="Segoe UI"/>
          <w:sz w:val="24"/>
          <w:szCs w:val="24"/>
          <w:lang w:val="el-GR"/>
        </w:rPr>
      </w:pPr>
    </w:p>
    <w:p w:rsidR="00AC0322" w:rsidRPr="005E71CD" w:rsidRDefault="00AC0322" w:rsidP="00AC0322">
      <w:pPr>
        <w:spacing w:after="0" w:line="240" w:lineRule="auto"/>
        <w:ind w:right="7017"/>
        <w:jc w:val="both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ή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ια</w:t>
      </w:r>
      <w:r w:rsidRPr="005E71CD">
        <w:rPr>
          <w:rFonts w:ascii="Segoe UI" w:eastAsia="Calibri" w:hAnsi="Segoe UI" w:cs="Segoe UI"/>
          <w:b/>
          <w:bCs/>
          <w:spacing w:val="-8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π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λ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γ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ή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ς:</w:t>
      </w:r>
    </w:p>
    <w:p w:rsidR="00E31B09" w:rsidRPr="00F028C0" w:rsidRDefault="00AC0322" w:rsidP="00966FB8">
      <w:pPr>
        <w:spacing w:after="0" w:line="240" w:lineRule="auto"/>
        <w:ind w:right="53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επιλογή των</w:t>
      </w:r>
      <w:r w:rsidR="005779A0">
        <w:rPr>
          <w:rFonts w:ascii="Segoe UI" w:eastAsia="Calibri" w:hAnsi="Segoe UI" w:cs="Segoe UI"/>
          <w:sz w:val="24"/>
          <w:szCs w:val="24"/>
          <w:lang w:val="el-GR"/>
        </w:rPr>
        <w:t xml:space="preserve"> υποψηφίων θα γίνει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τον Ιούνιο με βάση, 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>αρχικά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,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AB1E44" w:rsidRPr="005E71CD">
        <w:rPr>
          <w:rFonts w:ascii="Segoe UI" w:eastAsia="Calibri" w:hAnsi="Segoe UI" w:cs="Segoe UI"/>
          <w:sz w:val="24"/>
          <w:szCs w:val="24"/>
          <w:lang w:val="el-GR"/>
        </w:rPr>
        <w:t>την αξιολόγηση</w:t>
      </w:r>
      <w:r w:rsidR="00E31B09"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892696">
        <w:rPr>
          <w:rFonts w:ascii="Segoe UI" w:eastAsia="Calibri" w:hAnsi="Segoe UI" w:cs="Segoe UI"/>
          <w:sz w:val="24"/>
          <w:szCs w:val="24"/>
          <w:lang w:val="el-GR"/>
        </w:rPr>
        <w:t>των δικαιολογητικών που θα κατα</w:t>
      </w:r>
      <w:r w:rsidR="00892696">
        <w:rPr>
          <w:rFonts w:ascii="Segoe UI" w:hAnsi="Segoe UI" w:cs="Segoe UI"/>
          <w:sz w:val="24"/>
          <w:szCs w:val="24"/>
          <w:lang w:val="el-GR" w:eastAsia="ja-JP"/>
        </w:rPr>
        <w:t>τεθούν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και</w:t>
      </w:r>
      <w:r w:rsidR="005779A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στη συνέχεια, </w:t>
      </w:r>
      <w:r w:rsidR="00AB1E44" w:rsidRPr="00F028C0">
        <w:rPr>
          <w:rFonts w:ascii="Segoe UI" w:eastAsia="Calibri" w:hAnsi="Segoe UI" w:cs="Segoe UI"/>
          <w:sz w:val="24"/>
          <w:szCs w:val="24"/>
          <w:lang w:val="el-GR"/>
        </w:rPr>
        <w:t>τη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ν</w:t>
      </w:r>
      <w:r w:rsidR="00AB1E44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επίδοσ</w:t>
      </w:r>
      <w:r w:rsidR="004D27B5" w:rsidRPr="00F028C0">
        <w:rPr>
          <w:rFonts w:ascii="Segoe UI" w:eastAsia="Calibri" w:hAnsi="Segoe UI" w:cs="Segoe UI"/>
          <w:sz w:val="24"/>
          <w:szCs w:val="24"/>
          <w:lang w:val="el-GR"/>
        </w:rPr>
        <w:t>ή</w:t>
      </w:r>
      <w:r w:rsidR="00AB1E44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4D27B5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τους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στη</w:t>
      </w:r>
      <w:r w:rsidR="00AB1E44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γραπτή εξέταση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της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Α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>γγλική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ς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και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Ι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>απωνική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ς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γλώσσα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ς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>,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καθώς και την προσωπική συνέντευξη. </w:t>
      </w:r>
    </w:p>
    <w:p w:rsidR="00E31B09" w:rsidRPr="00F028C0" w:rsidRDefault="00726E5B" w:rsidP="003C4753">
      <w:pPr>
        <w:spacing w:after="0" w:line="240" w:lineRule="auto"/>
        <w:ind w:right="53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Οι υποψήφιοι προπτυχιακοί φοιτητές </w:t>
      </w:r>
      <w:r w:rsidR="00C06265" w:rsidRPr="00F028C0">
        <w:rPr>
          <w:rFonts w:ascii="Segoe UI" w:eastAsia="Calibri" w:hAnsi="Segoe UI" w:cs="Segoe UI"/>
          <w:sz w:val="24"/>
          <w:szCs w:val="24"/>
          <w:lang w:val="el-GR"/>
        </w:rPr>
        <w:t>εκτός από τα προαναφερόμενα μαθήματα, θα πρέπει να εξεταστούν σ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>ε</w:t>
      </w:r>
      <w:r w:rsidR="00C06265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5779A0" w:rsidRPr="00F028C0">
        <w:rPr>
          <w:rFonts w:ascii="Segoe UI" w:hAnsi="Segoe UI" w:cs="Segoe UI"/>
          <w:sz w:val="24"/>
          <w:szCs w:val="24"/>
          <w:lang w:val="el-GR" w:eastAsia="ja-JP"/>
        </w:rPr>
        <w:t>Μ</w:t>
      </w:r>
      <w:r w:rsidR="001312CE" w:rsidRPr="00F028C0">
        <w:rPr>
          <w:rFonts w:ascii="Segoe UI" w:hAnsi="Segoe UI" w:cs="Segoe UI"/>
          <w:sz w:val="24"/>
          <w:szCs w:val="24"/>
          <w:lang w:val="el-GR" w:eastAsia="ja-JP"/>
        </w:rPr>
        <w:t>αθηματικά</w:t>
      </w:r>
      <w:r w:rsidRPr="00F028C0">
        <w:rPr>
          <w:rFonts w:ascii="Segoe UI" w:hAnsi="Segoe UI" w:cs="Segoe UI"/>
          <w:sz w:val="24"/>
          <w:szCs w:val="24"/>
          <w:lang w:val="el-GR" w:eastAsia="ja-JP"/>
        </w:rPr>
        <w:t xml:space="preserve"> </w:t>
      </w:r>
      <w:r w:rsidR="005779A0" w:rsidRPr="00F028C0">
        <w:rPr>
          <w:rFonts w:ascii="Segoe UI" w:hAnsi="Segoe UI" w:cs="Segoe UI"/>
          <w:sz w:val="24"/>
          <w:szCs w:val="24"/>
          <w:lang w:val="el-GR" w:eastAsia="ja-JP"/>
        </w:rPr>
        <w:t>–</w:t>
      </w:r>
      <w:r w:rsidRPr="00F028C0">
        <w:rPr>
          <w:rFonts w:ascii="Segoe UI" w:hAnsi="Segoe UI" w:cs="Segoe UI"/>
          <w:sz w:val="24"/>
          <w:szCs w:val="24"/>
          <w:lang w:val="el-GR" w:eastAsia="ja-JP"/>
        </w:rPr>
        <w:t xml:space="preserve">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Φ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υσική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-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>Χ</w:t>
      </w:r>
      <w:r w:rsidR="00C06265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ημεία ή </w:t>
      </w:r>
      <w:r w:rsidR="005779A0" w:rsidRPr="00F028C0">
        <w:rPr>
          <w:rFonts w:ascii="Segoe UI" w:hAnsi="Segoe UI" w:cs="Segoe UI"/>
          <w:sz w:val="24"/>
          <w:szCs w:val="24"/>
          <w:lang w:val="el-GR" w:eastAsia="ja-JP"/>
        </w:rPr>
        <w:t xml:space="preserve">Μαθηματικά 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– Χημεία 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>–</w:t>
      </w:r>
      <w:r w:rsidR="005779A0" w:rsidRPr="00F028C0">
        <w:rPr>
          <w:rFonts w:ascii="Segoe UI" w:eastAsia="Calibri" w:hAnsi="Segoe UI" w:cs="Segoe UI"/>
          <w:sz w:val="24"/>
          <w:szCs w:val="24"/>
          <w:lang w:val="el-GR"/>
        </w:rPr>
        <w:t xml:space="preserve"> Β</w:t>
      </w:r>
      <w:r w:rsidR="001312CE" w:rsidRPr="00F028C0">
        <w:rPr>
          <w:rFonts w:ascii="Segoe UI" w:eastAsia="Calibri" w:hAnsi="Segoe UI" w:cs="Segoe UI"/>
          <w:sz w:val="24"/>
          <w:szCs w:val="24"/>
          <w:lang w:val="el-GR"/>
        </w:rPr>
        <w:t>ιολογία</w:t>
      </w:r>
      <w:r w:rsidRPr="00F028C0">
        <w:rPr>
          <w:rFonts w:ascii="Segoe UI" w:eastAsia="Calibri" w:hAnsi="Segoe UI" w:cs="Segoe UI"/>
          <w:sz w:val="24"/>
          <w:szCs w:val="24"/>
          <w:lang w:val="el-GR"/>
        </w:rPr>
        <w:t>, ανάλογα με την κατεύθυνση σπουδών τους.</w:t>
      </w:r>
    </w:p>
    <w:p w:rsidR="00B25270" w:rsidRPr="00F028C0" w:rsidRDefault="00966FB8" w:rsidP="00F028C0">
      <w:pPr>
        <w:pStyle w:val="Default"/>
        <w:jc w:val="both"/>
        <w:rPr>
          <w:rFonts w:ascii="Segoe UI" w:hAnsi="Segoe UI" w:cs="Segoe UI"/>
          <w:i/>
          <w:sz w:val="22"/>
          <w:szCs w:val="22"/>
          <w:lang w:val="el-GR"/>
        </w:rPr>
      </w:pPr>
      <w:r>
        <w:rPr>
          <w:rFonts w:ascii="Segoe UI" w:hAnsi="Segoe UI" w:cs="Segoe UI"/>
          <w:i/>
          <w:sz w:val="16"/>
          <w:szCs w:val="16"/>
          <w:lang w:val="el-GR"/>
        </w:rPr>
        <w:br/>
      </w:r>
      <w:r w:rsidR="00E31B09" w:rsidRPr="001312CE">
        <w:rPr>
          <w:rFonts w:ascii="Segoe UI" w:hAnsi="Segoe UI" w:cs="Segoe UI"/>
          <w:i/>
          <w:sz w:val="22"/>
          <w:szCs w:val="22"/>
          <w:lang w:val="el-GR"/>
        </w:rPr>
        <w:t>*Σε περίπτωση απόρριψη</w:t>
      </w:r>
      <w:r w:rsidR="004D27B5" w:rsidRPr="001312CE">
        <w:rPr>
          <w:rFonts w:ascii="Segoe UI" w:hAnsi="Segoe UI" w:cs="Segoe UI"/>
          <w:i/>
          <w:sz w:val="22"/>
          <w:szCs w:val="22"/>
          <w:lang w:val="el-GR"/>
        </w:rPr>
        <w:t>ς</w:t>
      </w:r>
      <w:r w:rsidR="00E31B09" w:rsidRPr="001312CE">
        <w:rPr>
          <w:rFonts w:ascii="Segoe UI" w:hAnsi="Segoe UI" w:cs="Segoe UI"/>
          <w:i/>
          <w:sz w:val="22"/>
          <w:szCs w:val="22"/>
          <w:lang w:val="el-GR"/>
        </w:rPr>
        <w:t xml:space="preserve"> αίτησης η Πρεσβεία της Ιαπωνίας δεν είναι υποχρεωμένη να αιτιολογήσει την απόφασή της. Μετά την έκδοση των αποτελεσμάτων δεν προβλέπεται διαδικασία επανεξέτασης αιτήσεων και δεν γίνονται δεκτές ενστάσεις. </w:t>
      </w:r>
    </w:p>
    <w:p w:rsidR="00FE456D" w:rsidRPr="00B25270" w:rsidRDefault="00B17AAA" w:rsidP="003C4753">
      <w:pPr>
        <w:spacing w:after="0" w:line="240" w:lineRule="auto"/>
        <w:ind w:right="3865"/>
        <w:jc w:val="both"/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</w:pPr>
      <w:r w:rsidRPr="005E71CD">
        <w:rPr>
          <w:rFonts w:ascii="Segoe UI" w:hAnsi="Segoe UI" w:cs="Segoe UI"/>
          <w:b/>
          <w:sz w:val="24"/>
          <w:szCs w:val="24"/>
          <w:lang w:val="el-GR"/>
        </w:rPr>
        <w:t xml:space="preserve">Καταληκτική ημερομηνία </w:t>
      </w:r>
      <w:r w:rsidR="00AC0322" w:rsidRPr="005E71CD">
        <w:rPr>
          <w:rFonts w:ascii="Segoe UI" w:hAnsi="Segoe UI" w:cs="Segoe UI"/>
          <w:b/>
          <w:sz w:val="24"/>
          <w:szCs w:val="24"/>
          <w:lang w:val="el-GR"/>
        </w:rPr>
        <w:t>υποβολής αιτήσεων</w:t>
      </w:r>
      <w:r w:rsidR="00AC0322" w:rsidRPr="005E71CD">
        <w:rPr>
          <w:rFonts w:ascii="Segoe UI" w:hAnsi="Segoe UI" w:cs="Segoe UI"/>
          <w:sz w:val="24"/>
          <w:szCs w:val="24"/>
          <w:lang w:val="el-GR"/>
        </w:rPr>
        <w:t xml:space="preserve">: </w:t>
      </w:r>
      <w:r w:rsidR="00FE456D" w:rsidRPr="005E71CD">
        <w:rPr>
          <w:rFonts w:ascii="Segoe UI" w:hAnsi="Segoe UI" w:cs="Segoe UI"/>
          <w:sz w:val="24"/>
          <w:szCs w:val="24"/>
          <w:lang w:val="el-GR"/>
        </w:rPr>
        <w:t xml:space="preserve"> </w:t>
      </w:r>
      <w:r w:rsidR="00AC0322"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31</w:t>
      </w:r>
      <w:r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Μαΐου 2</w:t>
      </w:r>
      <w:r w:rsidR="00237FFC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01</w:t>
      </w:r>
      <w:r w:rsidR="00226C79" w:rsidRPr="00226C79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8</w:t>
      </w:r>
      <w:r w:rsidRPr="005E71CD">
        <w:rPr>
          <w:rFonts w:ascii="Segoe UI" w:hAnsi="Segoe UI" w:cs="Segoe UI"/>
          <w:sz w:val="24"/>
          <w:szCs w:val="24"/>
          <w:lang w:val="el-GR"/>
        </w:rPr>
        <w:t xml:space="preserve"> </w:t>
      </w:r>
    </w:p>
    <w:p w:rsidR="00B25270" w:rsidRPr="005E71CD" w:rsidRDefault="000A2DE3" w:rsidP="003C4753">
      <w:pPr>
        <w:pStyle w:val="NoSpacing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E71CD">
        <w:rPr>
          <w:rFonts w:ascii="Segoe UI" w:hAnsi="Segoe UI" w:cs="Segoe UI"/>
          <w:i/>
          <w:spacing w:val="1"/>
          <w:sz w:val="24"/>
          <w:szCs w:val="24"/>
          <w:lang w:val="el-GR"/>
        </w:rPr>
        <w:t xml:space="preserve">*Καμιά αίτηση δεν θα γίνει δεκτή </w:t>
      </w:r>
      <w:r w:rsidRPr="005E71CD">
        <w:rPr>
          <w:rFonts w:ascii="Segoe UI" w:hAnsi="Segoe UI" w:cs="Segoe UI"/>
          <w:i/>
          <w:spacing w:val="1"/>
          <w:sz w:val="24"/>
          <w:szCs w:val="24"/>
          <w:u w:val="single"/>
          <w:lang w:val="el-GR"/>
        </w:rPr>
        <w:t>μετά</w:t>
      </w:r>
      <w:r w:rsidRPr="005E71CD">
        <w:rPr>
          <w:rFonts w:ascii="Segoe UI" w:hAnsi="Segoe UI" w:cs="Segoe UI"/>
          <w:i/>
          <w:spacing w:val="1"/>
          <w:sz w:val="24"/>
          <w:szCs w:val="24"/>
          <w:lang w:val="el-GR"/>
        </w:rPr>
        <w:t xml:space="preserve"> την καταληκτική ημερομηνία.</w:t>
      </w:r>
      <w:r w:rsidR="00B25270" w:rsidRPr="00B25270">
        <w:rPr>
          <w:rFonts w:cs="Arial"/>
          <w:color w:val="000000"/>
          <w:lang w:val="el-GR"/>
        </w:rPr>
        <w:t xml:space="preserve"> </w:t>
      </w:r>
    </w:p>
    <w:p w:rsidR="00AC0322" w:rsidRPr="00237FFC" w:rsidRDefault="00B25270" w:rsidP="003C4753">
      <w:pPr>
        <w:spacing w:after="0" w:line="240" w:lineRule="auto"/>
        <w:ind w:right="-20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>
        <w:rPr>
          <w:rFonts w:ascii="Segoe UI" w:eastAsia="Calibri" w:hAnsi="Segoe UI" w:cs="Segoe UI"/>
          <w:b/>
          <w:bCs/>
          <w:sz w:val="24"/>
          <w:szCs w:val="24"/>
          <w:lang w:val="el-GR"/>
        </w:rPr>
        <w:br/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Π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λη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φ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ί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</w:t>
      </w:r>
      <w:r w:rsidR="00AC0322" w:rsidRPr="005E71CD">
        <w:rPr>
          <w:rFonts w:ascii="Segoe UI" w:eastAsia="Calibri" w:hAnsi="Segoe UI" w:cs="Segoe UI"/>
          <w:b/>
          <w:bCs/>
          <w:spacing w:val="2"/>
          <w:sz w:val="24"/>
          <w:szCs w:val="24"/>
          <w:lang w:val="el-GR"/>
        </w:rPr>
        <w:t>-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</w:rPr>
        <w:t>A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ή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σ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ι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ς: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 xml:space="preserve"> </w:t>
      </w:r>
      <w:r w:rsidR="0042076A">
        <w:rPr>
          <w:rFonts w:ascii="Segoe UI" w:hAnsi="Segoe UI" w:cs="Segoe UI"/>
          <w:spacing w:val="-1"/>
          <w:sz w:val="24"/>
          <w:szCs w:val="24"/>
          <w:u w:val="single" w:color="000000"/>
          <w:lang w:val="el-GR" w:eastAsia="ja-JP"/>
        </w:rPr>
        <w:t>Πολιτισ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τι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κό</w:t>
      </w:r>
      <w:r w:rsidR="00AC0322" w:rsidRPr="005E71CD">
        <w:rPr>
          <w:rFonts w:ascii="Segoe UI" w:eastAsia="Calibri" w:hAnsi="Segoe UI" w:cs="Segoe UI"/>
          <w:spacing w:val="-11"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Τ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μ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ή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μ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α</w:t>
      </w:r>
      <w:r w:rsidR="00AC0322" w:rsidRPr="005E71CD">
        <w:rPr>
          <w:rFonts w:ascii="Segoe UI" w:eastAsia="Calibri" w:hAnsi="Segoe UI" w:cs="Segoe UI"/>
          <w:spacing w:val="-9"/>
          <w:sz w:val="24"/>
          <w:szCs w:val="24"/>
          <w:u w:val="single" w:color="000000"/>
          <w:lang w:val="el-GR"/>
        </w:rPr>
        <w:t xml:space="preserve"> </w:t>
      </w:r>
      <w:r w:rsidR="00237FFC">
        <w:rPr>
          <w:rFonts w:ascii="Segoe UI" w:eastAsia="Calibri" w:hAnsi="Segoe UI" w:cs="Segoe UI"/>
          <w:spacing w:val="3"/>
          <w:sz w:val="24"/>
          <w:szCs w:val="24"/>
          <w:u w:val="single" w:color="000000"/>
          <w:lang w:val="el-GR"/>
        </w:rPr>
        <w:t>-</w:t>
      </w:r>
      <w:r w:rsidR="00237FFC" w:rsidRPr="00237FFC">
        <w:rPr>
          <w:rFonts w:ascii="Segoe UI" w:eastAsia="Calibri" w:hAnsi="Segoe UI" w:cs="Segoe UI"/>
          <w:spacing w:val="-6"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Π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ρ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ε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σ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β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ε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ί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α</w:t>
      </w:r>
      <w:r w:rsidR="00237FFC" w:rsidRPr="00237FFC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 xml:space="preserve"> </w:t>
      </w:r>
      <w:r w:rsidR="00237FFC">
        <w:rPr>
          <w:rFonts w:ascii="Segoe UI" w:hAnsi="Segoe UI" w:cs="Segoe UI"/>
          <w:sz w:val="24"/>
          <w:szCs w:val="24"/>
          <w:u w:val="single" w:color="000000"/>
          <w:lang w:val="el-GR" w:eastAsia="ja-JP"/>
        </w:rPr>
        <w:t>της Ιαπωνίας</w:t>
      </w:r>
      <w:r w:rsidR="00237FFC" w:rsidRPr="00237FFC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 xml:space="preserve"> </w:t>
      </w:r>
      <w:bookmarkStart w:id="0" w:name="_GoBack"/>
      <w:bookmarkEnd w:id="0"/>
    </w:p>
    <w:p w:rsidR="00AC0322" w:rsidRPr="005E71CD" w:rsidRDefault="00AC0322" w:rsidP="003C4753">
      <w:pPr>
        <w:spacing w:after="0" w:line="240" w:lineRule="auto"/>
        <w:ind w:right="-20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             </w:t>
      </w:r>
      <w:r w:rsidR="00237FFC">
        <w:rPr>
          <w:rFonts w:ascii="Segoe UI" w:eastAsia="Calibri" w:hAnsi="Segoe UI" w:cs="Segoe UI"/>
          <w:sz w:val="24"/>
          <w:szCs w:val="24"/>
          <w:lang w:val="el-GR"/>
        </w:rPr>
        <w:t xml:space="preserve">                            </w:t>
      </w:r>
      <w:r w:rsidRPr="005E71CD">
        <w:rPr>
          <w:rFonts w:ascii="Segoe UI" w:eastAsia="Calibri" w:hAnsi="Segoe UI" w:cs="Segoe UI"/>
          <w:spacing w:val="3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θ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κής</w:t>
      </w:r>
      <w:r w:rsidRPr="005E71CD">
        <w:rPr>
          <w:rFonts w:ascii="Segoe UI" w:eastAsia="Calibri" w:hAnsi="Segoe UI" w:cs="Segoe UI"/>
          <w:spacing w:val="-8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Α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τι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σ</w:t>
      </w:r>
      <w:r w:rsidRPr="005E71CD">
        <w:rPr>
          <w:rFonts w:ascii="Segoe UI" w:eastAsia="Calibri" w:hAnsi="Segoe UI" w:cs="Segoe UI"/>
          <w:spacing w:val="3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ά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σ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ω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ς</w:t>
      </w:r>
      <w:r w:rsidRPr="005E71CD">
        <w:rPr>
          <w:rFonts w:ascii="Segoe UI" w:eastAsia="Calibri" w:hAnsi="Segoe UI" w:cs="Segoe UI"/>
          <w:spacing w:val="-14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46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,</w:t>
      </w:r>
      <w:r w:rsidRPr="005E71CD">
        <w:rPr>
          <w:rFonts w:ascii="Segoe UI" w:eastAsia="Calibri" w:hAnsi="Segoe UI" w:cs="Segoe UI"/>
          <w:spacing w:val="-4"/>
          <w:sz w:val="24"/>
          <w:szCs w:val="24"/>
          <w:lang w:val="el-GR"/>
        </w:rPr>
        <w:t xml:space="preserve"> </w:t>
      </w:r>
      <w:r w:rsidR="00726E5B" w:rsidRPr="00FA3EEB">
        <w:rPr>
          <w:rFonts w:ascii="Segoe UI" w:eastAsia="Calibri" w:hAnsi="Segoe UI" w:cs="Segoe UI"/>
          <w:spacing w:val="1"/>
          <w:sz w:val="24"/>
          <w:szCs w:val="24"/>
          <w:lang w:val="el-GR"/>
        </w:rPr>
        <w:t>15</w:t>
      </w:r>
      <w:r w:rsidR="00726E5B" w:rsidRPr="00FA3EEB">
        <w:rPr>
          <w:rFonts w:ascii="Segoe UI" w:eastAsia="Calibri" w:hAnsi="Segoe UI" w:cs="Segoe UI"/>
          <w:sz w:val="24"/>
          <w:szCs w:val="24"/>
          <w:lang w:val="el-GR"/>
        </w:rPr>
        <w:t>2</w:t>
      </w:r>
      <w:r w:rsidR="00726E5B" w:rsidRPr="00FA3EEB">
        <w:rPr>
          <w:rFonts w:ascii="Segoe UI" w:eastAsia="Calibri" w:hAnsi="Segoe UI" w:cs="Segoe UI"/>
          <w:spacing w:val="-5"/>
          <w:sz w:val="24"/>
          <w:szCs w:val="24"/>
          <w:lang w:val="el-GR"/>
        </w:rPr>
        <w:t xml:space="preserve"> </w:t>
      </w:r>
      <w:r w:rsidR="00726E5B" w:rsidRPr="00FA3EEB">
        <w:rPr>
          <w:rFonts w:ascii="Segoe UI" w:eastAsia="Calibri" w:hAnsi="Segoe UI" w:cs="Segoe UI"/>
          <w:spacing w:val="1"/>
          <w:sz w:val="24"/>
          <w:szCs w:val="24"/>
          <w:lang w:val="el-GR"/>
        </w:rPr>
        <w:t>3</w:t>
      </w:r>
      <w:r w:rsidR="00726E5B" w:rsidRPr="00FA3EEB">
        <w:rPr>
          <w:rFonts w:ascii="Segoe UI" w:eastAsia="Calibri" w:hAnsi="Segoe UI" w:cs="Segoe UI"/>
          <w:sz w:val="24"/>
          <w:szCs w:val="24"/>
          <w:lang w:val="el-GR"/>
        </w:rPr>
        <w:t xml:space="preserve">1  </w:t>
      </w:r>
      <w:r w:rsidRPr="00FA3EEB">
        <w:rPr>
          <w:rFonts w:ascii="Segoe UI" w:eastAsia="Calibri" w:hAnsi="Segoe UI" w:cs="Segoe UI"/>
          <w:spacing w:val="2"/>
          <w:sz w:val="24"/>
          <w:szCs w:val="24"/>
          <w:lang w:val="el-GR"/>
        </w:rPr>
        <w:t>Χ</w:t>
      </w:r>
      <w:r w:rsidRPr="00FA3EEB">
        <w:rPr>
          <w:rFonts w:ascii="Segoe UI" w:eastAsia="Calibri" w:hAnsi="Segoe UI" w:cs="Segoe UI"/>
          <w:spacing w:val="-1"/>
          <w:sz w:val="24"/>
          <w:szCs w:val="24"/>
          <w:lang w:val="el-GR"/>
        </w:rPr>
        <w:t>α</w:t>
      </w:r>
      <w:r w:rsidRPr="00FA3EEB">
        <w:rPr>
          <w:rFonts w:ascii="Segoe UI" w:eastAsia="Calibri" w:hAnsi="Segoe UI" w:cs="Segoe UI"/>
          <w:sz w:val="24"/>
          <w:szCs w:val="24"/>
          <w:lang w:val="el-GR"/>
        </w:rPr>
        <w:t>λ</w:t>
      </w:r>
      <w:r w:rsidRPr="00FA3EEB">
        <w:rPr>
          <w:rFonts w:ascii="Segoe UI" w:eastAsia="Calibri" w:hAnsi="Segoe UI" w:cs="Segoe UI"/>
          <w:spacing w:val="2"/>
          <w:sz w:val="24"/>
          <w:szCs w:val="24"/>
          <w:lang w:val="el-GR"/>
        </w:rPr>
        <w:t>ά</w:t>
      </w:r>
      <w:r w:rsidRPr="00FA3EEB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FA3EEB">
        <w:rPr>
          <w:rFonts w:ascii="Segoe UI" w:eastAsia="Calibri" w:hAnsi="Segoe UI" w:cs="Segoe UI"/>
          <w:spacing w:val="1"/>
          <w:sz w:val="24"/>
          <w:szCs w:val="24"/>
          <w:lang w:val="el-GR"/>
        </w:rPr>
        <w:t>δ</w:t>
      </w:r>
      <w:r w:rsidRPr="00FA3EEB">
        <w:rPr>
          <w:rFonts w:ascii="Segoe UI" w:eastAsia="Calibri" w:hAnsi="Segoe UI" w:cs="Segoe UI"/>
          <w:sz w:val="24"/>
          <w:szCs w:val="24"/>
          <w:lang w:val="el-GR"/>
        </w:rPr>
        <w:t>ρι</w:t>
      </w:r>
      <w:r w:rsidR="00726E5B" w:rsidRPr="00FA3EEB">
        <w:rPr>
          <w:rFonts w:ascii="Segoe UI" w:eastAsia="Calibri" w:hAnsi="Segoe UI" w:cs="Segoe UI"/>
          <w:spacing w:val="-10"/>
          <w:sz w:val="24"/>
          <w:szCs w:val="24"/>
          <w:lang w:val="el-GR"/>
        </w:rPr>
        <w:t xml:space="preserve">, </w:t>
      </w:r>
      <w:r w:rsidR="00726E5B" w:rsidRPr="00726E5B">
        <w:rPr>
          <w:rFonts w:ascii="Segoe UI" w:eastAsia="Calibri" w:hAnsi="Segoe UI" w:cs="Segoe UI"/>
          <w:spacing w:val="-10"/>
          <w:sz w:val="24"/>
          <w:szCs w:val="24"/>
          <w:lang w:val="el-GR"/>
        </w:rPr>
        <w:t>Αθήνα</w:t>
      </w:r>
    </w:p>
    <w:p w:rsidR="00FE456D" w:rsidRPr="00A174D9" w:rsidRDefault="00AC0322" w:rsidP="003C4753">
      <w:pPr>
        <w:tabs>
          <w:tab w:val="left" w:pos="4460"/>
        </w:tabs>
        <w:spacing w:after="0" w:line="240" w:lineRule="auto"/>
        <w:ind w:left="2153" w:right="-20"/>
        <w:rPr>
          <w:rFonts w:ascii="Segoe UI" w:eastAsia="Calibri" w:hAnsi="Segoe UI" w:cs="Segoe UI"/>
          <w:color w:val="0000FF"/>
          <w:spacing w:val="1"/>
          <w:sz w:val="24"/>
          <w:szCs w:val="24"/>
          <w:u w:val="single" w:color="0000FF"/>
          <w:lang w:val="el-GR"/>
        </w:rPr>
      </w:pPr>
      <w:r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    </w:t>
      </w:r>
      <w:r w:rsidR="005E71CD"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  </w:t>
      </w:r>
      <w:r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η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λ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>:</w:t>
      </w:r>
      <w:r w:rsidRPr="00A174D9">
        <w:rPr>
          <w:rFonts w:ascii="Segoe UI" w:eastAsia="Calibri" w:hAnsi="Segoe UI" w:cs="Segoe UI"/>
          <w:spacing w:val="-6"/>
          <w:sz w:val="24"/>
          <w:szCs w:val="24"/>
          <w:lang w:val="el-GR"/>
        </w:rPr>
        <w:t xml:space="preserve"> </w:t>
      </w:r>
      <w:r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>210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>-</w:t>
      </w:r>
      <w:r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>67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>0</w:t>
      </w:r>
      <w:r w:rsidRPr="00A174D9">
        <w:rPr>
          <w:rFonts w:ascii="Segoe UI" w:eastAsia="Calibri" w:hAnsi="Segoe UI" w:cs="Segoe UI"/>
          <w:spacing w:val="-9"/>
          <w:sz w:val="24"/>
          <w:szCs w:val="24"/>
          <w:lang w:val="el-GR"/>
        </w:rPr>
        <w:t xml:space="preserve"> </w:t>
      </w:r>
      <w:r w:rsidRPr="00A174D9">
        <w:rPr>
          <w:rFonts w:ascii="Segoe UI" w:eastAsia="Calibri" w:hAnsi="Segoe UI" w:cs="Segoe UI"/>
          <w:spacing w:val="1"/>
          <w:sz w:val="24"/>
          <w:szCs w:val="24"/>
          <w:lang w:val="el-GR"/>
        </w:rPr>
        <w:t>990</w:t>
      </w:r>
      <w:r w:rsidR="001312CE" w:rsidRPr="00A174D9">
        <w:rPr>
          <w:rFonts w:ascii="Segoe UI" w:eastAsia="Calibri" w:hAnsi="Segoe UI" w:cs="Segoe UI"/>
          <w:sz w:val="24"/>
          <w:szCs w:val="24"/>
          <w:lang w:val="el-GR"/>
        </w:rPr>
        <w:t xml:space="preserve">2  </w:t>
      </w:r>
      <w:r w:rsidR="005B63E5" w:rsidRPr="00A174D9">
        <w:rPr>
          <w:rFonts w:ascii="Segoe UI" w:eastAsia="Calibri" w:hAnsi="Segoe UI" w:cs="Segoe UI"/>
          <w:sz w:val="24"/>
          <w:szCs w:val="24"/>
          <w:lang w:val="el-GR"/>
        </w:rPr>
        <w:t xml:space="preserve">  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Ε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>-</w:t>
      </w:r>
      <w:r w:rsidRPr="005E71CD">
        <w:rPr>
          <w:rFonts w:ascii="Segoe UI" w:eastAsia="Calibri" w:hAnsi="Segoe UI" w:cs="Segoe UI"/>
          <w:spacing w:val="-1"/>
          <w:sz w:val="24"/>
          <w:szCs w:val="24"/>
        </w:rPr>
        <w:t>m</w:t>
      </w:r>
      <w:r w:rsidRPr="005E71CD">
        <w:rPr>
          <w:rFonts w:ascii="Segoe UI" w:eastAsia="Calibri" w:hAnsi="Segoe UI" w:cs="Segoe UI"/>
          <w:spacing w:val="1"/>
          <w:sz w:val="24"/>
          <w:szCs w:val="24"/>
        </w:rPr>
        <w:t>a</w:t>
      </w:r>
      <w:r w:rsidRPr="005E71CD">
        <w:rPr>
          <w:rFonts w:ascii="Segoe UI" w:eastAsia="Calibri" w:hAnsi="Segoe UI" w:cs="Segoe UI"/>
          <w:sz w:val="24"/>
          <w:szCs w:val="24"/>
        </w:rPr>
        <w:t>i</w:t>
      </w:r>
      <w:r w:rsidRPr="005E71CD">
        <w:rPr>
          <w:rFonts w:ascii="Segoe UI" w:eastAsia="Calibri" w:hAnsi="Segoe UI" w:cs="Segoe UI"/>
          <w:spacing w:val="1"/>
          <w:sz w:val="24"/>
          <w:szCs w:val="24"/>
        </w:rPr>
        <w:t>l</w:t>
      </w:r>
      <w:r w:rsidRPr="00A174D9">
        <w:rPr>
          <w:rFonts w:ascii="Segoe UI" w:eastAsia="Calibri" w:hAnsi="Segoe UI" w:cs="Segoe UI"/>
          <w:sz w:val="24"/>
          <w:szCs w:val="24"/>
          <w:lang w:val="el-GR"/>
        </w:rPr>
        <w:t>:</w:t>
      </w:r>
      <w:r w:rsidRPr="00A174D9">
        <w:rPr>
          <w:rFonts w:ascii="Segoe UI" w:eastAsia="Calibri" w:hAnsi="Segoe UI" w:cs="Segoe UI"/>
          <w:spacing w:val="-7"/>
          <w:sz w:val="24"/>
          <w:szCs w:val="24"/>
          <w:lang w:val="el-GR"/>
        </w:rPr>
        <w:t xml:space="preserve"> </w:t>
      </w:r>
      <w:hyperlink r:id="rId10" w:history="1"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cul</w:t>
        </w:r>
        <w:r w:rsidR="00FE456D" w:rsidRPr="005E71CD">
          <w:rPr>
            <w:rStyle w:val="Hyperlink"/>
            <w:rFonts w:ascii="Segoe UI" w:eastAsia="Calibri" w:hAnsi="Segoe UI" w:cs="Segoe UI"/>
            <w:spacing w:val="-1"/>
            <w:sz w:val="24"/>
            <w:szCs w:val="24"/>
            <w:u w:color="0000FF"/>
          </w:rPr>
          <w:t>t</w:t>
        </w:r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ural</w:t>
        </w:r>
        <w:r w:rsidR="00FE456D" w:rsidRPr="00A174D9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  <w:lang w:val="el-GR"/>
          </w:rPr>
          <w:t>@</w:t>
        </w:r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at</w:t>
        </w:r>
        <w:r w:rsidR="00FE456D" w:rsidRPr="00A174D9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  <w:lang w:val="el-GR"/>
          </w:rPr>
          <w:t>.</w:t>
        </w:r>
        <w:proofErr w:type="spellStart"/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mofa</w:t>
        </w:r>
        <w:proofErr w:type="spellEnd"/>
        <w:r w:rsidR="00FE456D" w:rsidRPr="00A174D9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  <w:lang w:val="el-GR"/>
          </w:rPr>
          <w:t>.</w:t>
        </w:r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go</w:t>
        </w:r>
        <w:r w:rsidR="00FE456D" w:rsidRPr="00A174D9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  <w:lang w:val="el-GR"/>
          </w:rPr>
          <w:t>.</w:t>
        </w:r>
        <w:proofErr w:type="spellStart"/>
        <w:r w:rsidR="00FE456D" w:rsidRPr="005E71CD">
          <w:rPr>
            <w:rStyle w:val="Hyperlink"/>
            <w:rFonts w:ascii="Segoe UI" w:eastAsia="Calibri" w:hAnsi="Segoe UI" w:cs="Segoe UI"/>
            <w:spacing w:val="1"/>
            <w:sz w:val="24"/>
            <w:szCs w:val="24"/>
            <w:u w:color="0000FF"/>
          </w:rPr>
          <w:t>jp</w:t>
        </w:r>
        <w:proofErr w:type="spellEnd"/>
      </w:hyperlink>
    </w:p>
    <w:p w:rsidR="00E51762" w:rsidRPr="00E8300A" w:rsidRDefault="00226C79" w:rsidP="003C4753">
      <w:pPr>
        <w:spacing w:after="0" w:line="240" w:lineRule="auto"/>
        <w:jc w:val="center"/>
        <w:rPr>
          <w:rFonts w:cstheme="minorHAnsi"/>
          <w:b/>
          <w:sz w:val="28"/>
          <w:szCs w:val="28"/>
          <w:lang w:val="el-GR"/>
        </w:rPr>
      </w:pPr>
      <w:r w:rsidRPr="00226C79">
        <w:rPr>
          <w:rFonts w:cstheme="minorHAnsi"/>
          <w:b/>
          <w:sz w:val="28"/>
          <w:szCs w:val="28"/>
        </w:rPr>
        <w:t>http</w:t>
      </w:r>
      <w:r w:rsidRPr="00E8300A">
        <w:rPr>
          <w:rFonts w:cstheme="minorHAnsi"/>
          <w:b/>
          <w:sz w:val="28"/>
          <w:szCs w:val="28"/>
          <w:lang w:val="el-GR"/>
        </w:rPr>
        <w:t>://</w:t>
      </w:r>
      <w:r w:rsidRPr="00226C79">
        <w:rPr>
          <w:rFonts w:cstheme="minorHAnsi"/>
          <w:b/>
          <w:sz w:val="28"/>
          <w:szCs w:val="28"/>
        </w:rPr>
        <w:t>www</w:t>
      </w:r>
      <w:r w:rsidRPr="00E8300A">
        <w:rPr>
          <w:rFonts w:cstheme="minorHAnsi"/>
          <w:b/>
          <w:sz w:val="28"/>
          <w:szCs w:val="28"/>
          <w:lang w:val="el-GR"/>
        </w:rPr>
        <w:t>.</w:t>
      </w:r>
      <w:r w:rsidRPr="00226C79">
        <w:rPr>
          <w:rFonts w:cstheme="minorHAnsi"/>
          <w:b/>
          <w:sz w:val="28"/>
          <w:szCs w:val="28"/>
        </w:rPr>
        <w:t>gr</w:t>
      </w:r>
      <w:r w:rsidRPr="00E8300A">
        <w:rPr>
          <w:rFonts w:cstheme="minorHAnsi"/>
          <w:b/>
          <w:sz w:val="28"/>
          <w:szCs w:val="28"/>
          <w:lang w:val="el-GR"/>
        </w:rPr>
        <w:t>.</w:t>
      </w:r>
      <w:proofErr w:type="spellStart"/>
      <w:r w:rsidRPr="00226C79">
        <w:rPr>
          <w:rFonts w:cstheme="minorHAnsi"/>
          <w:b/>
          <w:sz w:val="28"/>
          <w:szCs w:val="28"/>
        </w:rPr>
        <w:t>emb</w:t>
      </w:r>
      <w:proofErr w:type="spellEnd"/>
      <w:r w:rsidRPr="00E8300A">
        <w:rPr>
          <w:rFonts w:cstheme="minorHAnsi"/>
          <w:b/>
          <w:sz w:val="28"/>
          <w:szCs w:val="28"/>
          <w:lang w:val="el-GR"/>
        </w:rPr>
        <w:t>-</w:t>
      </w:r>
      <w:r w:rsidRPr="00226C79">
        <w:rPr>
          <w:rFonts w:cstheme="minorHAnsi"/>
          <w:b/>
          <w:sz w:val="28"/>
          <w:szCs w:val="28"/>
        </w:rPr>
        <w:t>japan</w:t>
      </w:r>
      <w:r w:rsidRPr="00E8300A">
        <w:rPr>
          <w:rFonts w:cstheme="minorHAnsi"/>
          <w:b/>
          <w:sz w:val="28"/>
          <w:szCs w:val="28"/>
          <w:lang w:val="el-GR"/>
        </w:rPr>
        <w:t>.</w:t>
      </w:r>
      <w:r w:rsidRPr="00226C79">
        <w:rPr>
          <w:rFonts w:cstheme="minorHAnsi"/>
          <w:b/>
          <w:sz w:val="28"/>
          <w:szCs w:val="28"/>
        </w:rPr>
        <w:t>go</w:t>
      </w:r>
      <w:r w:rsidRPr="00E8300A">
        <w:rPr>
          <w:rFonts w:cstheme="minorHAnsi"/>
          <w:b/>
          <w:sz w:val="28"/>
          <w:szCs w:val="28"/>
          <w:lang w:val="el-GR"/>
        </w:rPr>
        <w:t>.</w:t>
      </w:r>
      <w:proofErr w:type="spellStart"/>
      <w:r w:rsidRPr="00226C79">
        <w:rPr>
          <w:rFonts w:cstheme="minorHAnsi"/>
          <w:b/>
          <w:sz w:val="28"/>
          <w:szCs w:val="28"/>
        </w:rPr>
        <w:t>jp</w:t>
      </w:r>
      <w:proofErr w:type="spellEnd"/>
      <w:r w:rsidRPr="00E8300A">
        <w:rPr>
          <w:rFonts w:cstheme="minorHAnsi"/>
          <w:b/>
          <w:sz w:val="28"/>
          <w:szCs w:val="28"/>
          <w:lang w:val="el-GR"/>
        </w:rPr>
        <w:t>/</w:t>
      </w:r>
      <w:proofErr w:type="spellStart"/>
      <w:r w:rsidRPr="00226C79">
        <w:rPr>
          <w:rFonts w:cstheme="minorHAnsi"/>
          <w:b/>
          <w:sz w:val="28"/>
          <w:szCs w:val="28"/>
        </w:rPr>
        <w:t>itpr</w:t>
      </w:r>
      <w:proofErr w:type="spellEnd"/>
      <w:r w:rsidRPr="00E8300A">
        <w:rPr>
          <w:rFonts w:cstheme="minorHAnsi"/>
          <w:b/>
          <w:sz w:val="28"/>
          <w:szCs w:val="28"/>
          <w:lang w:val="el-GR"/>
        </w:rPr>
        <w:t>_</w:t>
      </w:r>
      <w:r w:rsidRPr="00226C79">
        <w:rPr>
          <w:rFonts w:cstheme="minorHAnsi"/>
          <w:b/>
          <w:sz w:val="28"/>
          <w:szCs w:val="28"/>
        </w:rPr>
        <w:t>el</w:t>
      </w:r>
      <w:r w:rsidRPr="00E8300A">
        <w:rPr>
          <w:rFonts w:cstheme="minorHAnsi"/>
          <w:b/>
          <w:sz w:val="28"/>
          <w:szCs w:val="28"/>
          <w:lang w:val="el-GR"/>
        </w:rPr>
        <w:t>/</w:t>
      </w:r>
      <w:proofErr w:type="spellStart"/>
      <w:r w:rsidRPr="00226C79">
        <w:rPr>
          <w:rFonts w:cstheme="minorHAnsi"/>
          <w:b/>
          <w:sz w:val="28"/>
          <w:szCs w:val="28"/>
        </w:rPr>
        <w:t>mext</w:t>
      </w:r>
      <w:proofErr w:type="spellEnd"/>
      <w:r w:rsidRPr="00E8300A">
        <w:rPr>
          <w:rFonts w:cstheme="minorHAnsi"/>
          <w:b/>
          <w:sz w:val="28"/>
          <w:szCs w:val="28"/>
          <w:lang w:val="el-GR"/>
        </w:rPr>
        <w:t>_</w:t>
      </w:r>
      <w:r w:rsidRPr="00226C79">
        <w:rPr>
          <w:rFonts w:cstheme="minorHAnsi"/>
          <w:b/>
          <w:sz w:val="28"/>
          <w:szCs w:val="28"/>
        </w:rPr>
        <w:t>scholarship</w:t>
      </w:r>
      <w:r w:rsidRPr="00E8300A">
        <w:rPr>
          <w:rFonts w:cstheme="minorHAnsi"/>
          <w:b/>
          <w:sz w:val="28"/>
          <w:szCs w:val="28"/>
          <w:lang w:val="el-GR"/>
        </w:rPr>
        <w:t>.</w:t>
      </w:r>
      <w:r w:rsidRPr="00226C79">
        <w:rPr>
          <w:rFonts w:cstheme="minorHAnsi"/>
          <w:b/>
          <w:sz w:val="28"/>
          <w:szCs w:val="28"/>
        </w:rPr>
        <w:t>html</w:t>
      </w:r>
    </w:p>
    <w:sectPr w:rsidR="00E51762" w:rsidRPr="00E8300A" w:rsidSect="00FE456D">
      <w:footerReference w:type="default" r:id="rId11"/>
      <w:pgSz w:w="12240" w:h="15840" w:code="1"/>
      <w:pgMar w:top="432" w:right="576" w:bottom="43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44" w:rsidRDefault="00CE5644" w:rsidP="00A13795">
      <w:pPr>
        <w:spacing w:after="0" w:line="240" w:lineRule="auto"/>
      </w:pPr>
      <w:r>
        <w:separator/>
      </w:r>
    </w:p>
  </w:endnote>
  <w:endnote w:type="continuationSeparator" w:id="0">
    <w:p w:rsidR="00CE5644" w:rsidRDefault="00CE5644" w:rsidP="00A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E" w:rsidRPr="00867B4E" w:rsidRDefault="00807E27" w:rsidP="00AC55DE">
    <w:pPr>
      <w:pStyle w:val="FooterOdd"/>
      <w:pBdr>
        <w:top w:val="single" w:sz="4" w:space="0" w:color="4F81BD" w:themeColor="accent1"/>
      </w:pBdr>
      <w:jc w:val="left"/>
      <w:rPr>
        <w:lang w:val="el-GR"/>
      </w:rPr>
    </w:pPr>
    <w:r>
      <w:rPr>
        <w:lang w:val="el-GR"/>
      </w:rPr>
      <w:ptab w:relativeTo="margin" w:alignment="center" w:leader="none"/>
    </w:r>
    <w:r w:rsidR="00867B4E" w:rsidRPr="00867B4E">
      <w:rPr>
        <w:lang w:val="el-GR"/>
      </w:rPr>
      <w:t xml:space="preserve">                                                                          </w:t>
    </w:r>
    <w:r w:rsidR="008212A7" w:rsidRPr="008212A7">
      <w:rPr>
        <w:lang w:val="el-GR"/>
      </w:rPr>
      <w:t xml:space="preserve">                                                                                                                                   </w:t>
    </w:r>
    <w:r w:rsidR="00867B4E" w:rsidRPr="00867B4E">
      <w:rPr>
        <w:noProof/>
        <w:sz w:val="24"/>
        <w:szCs w:val="24"/>
        <w:lang w:val="el-GR"/>
      </w:rPr>
      <w:br/>
    </w:r>
    <w:r w:rsidR="00867B4E" w:rsidRPr="008212A7">
      <w:rPr>
        <w:rFonts w:asciiTheme="majorHAnsi" w:hAnsiTheme="majorHAnsi" w:cstheme="minorHAnsi"/>
        <w:b/>
        <w:color w:val="0F243E" w:themeColor="text2" w:themeShade="80"/>
        <w:sz w:val="24"/>
        <w:szCs w:val="24"/>
        <w:lang w:val="el-GR"/>
      </w:rPr>
      <w:t>Πρεσβεία της Ιαπωνίας</w:t>
    </w:r>
    <w:r w:rsidR="00867B4E" w:rsidRPr="00867B4E">
      <w:rPr>
        <w:rFonts w:asciiTheme="majorHAnsi" w:hAnsiTheme="majorHAnsi" w:cstheme="minorHAnsi"/>
        <w:b/>
        <w:sz w:val="24"/>
        <w:szCs w:val="24"/>
        <w:lang w:val="el-GR"/>
      </w:rPr>
      <w:br/>
    </w:r>
    <w:r w:rsidR="00867B4E" w:rsidRPr="00AD4123">
      <w:rPr>
        <w:rFonts w:asciiTheme="majorHAnsi" w:hAnsiTheme="majorHAnsi" w:cstheme="minorHAnsi"/>
        <w:sz w:val="24"/>
        <w:szCs w:val="24"/>
      </w:rPr>
      <w:t>Tel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: </w:t>
    </w:r>
    <w:r w:rsidR="00FC0869" w:rsidRPr="00AE610D">
      <w:rPr>
        <w:rFonts w:asciiTheme="majorHAnsi" w:hAnsiTheme="majorHAnsi" w:cstheme="minorHAnsi"/>
        <w:sz w:val="24"/>
        <w:szCs w:val="24"/>
        <w:lang w:val="el-GR"/>
      </w:rPr>
      <w:t xml:space="preserve">+30 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210-670-9901,2   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Fax:</w:t>
    </w:r>
    <w:r w:rsidR="00FC0869">
      <w:rPr>
        <w:rFonts w:asciiTheme="majorHAnsi" w:hAnsiTheme="majorHAnsi" w:cstheme="minorHAnsi"/>
        <w:sz w:val="24"/>
        <w:szCs w:val="24"/>
        <w:lang w:val="fr-FR"/>
      </w:rPr>
      <w:t xml:space="preserve">+30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210-670-9981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>
      <w:rPr>
        <w:rFonts w:asciiTheme="majorHAnsi" w:hAnsiTheme="majorHAnsi" w:cstheme="minorHAnsi"/>
        <w:sz w:val="24"/>
        <w:szCs w:val="24"/>
        <w:lang w:val="fr-FR"/>
      </w:rPr>
      <w:br/>
      <w:t>E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mail: </w:t>
    </w:r>
    <w:r w:rsidR="00014067">
      <w:rPr>
        <w:rFonts w:asciiTheme="majorHAnsi" w:hAnsiTheme="majorHAnsi" w:cstheme="minorHAnsi"/>
        <w:sz w:val="24"/>
        <w:szCs w:val="24"/>
        <w:lang w:val="fr-FR"/>
      </w:rPr>
      <w:t>cultural@at.mofa.go.jp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 w:rsidRPr="00867B4E">
      <w:rPr>
        <w:rFonts w:asciiTheme="majorHAnsi" w:hAnsiTheme="majorHAnsi" w:cstheme="minorHAnsi"/>
        <w:sz w:val="24"/>
        <w:szCs w:val="24"/>
        <w:lang w:val="fr-FR"/>
      </w:rPr>
      <w:t>http://www.gr.emb-japan.go.jp/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 </w:t>
    </w:r>
  </w:p>
  <w:p w:rsidR="00867B4E" w:rsidRPr="00867B4E" w:rsidRDefault="00867B4E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44" w:rsidRDefault="00CE5644" w:rsidP="00A13795">
      <w:pPr>
        <w:spacing w:after="0" w:line="240" w:lineRule="auto"/>
      </w:pPr>
      <w:r>
        <w:separator/>
      </w:r>
    </w:p>
  </w:footnote>
  <w:footnote w:type="continuationSeparator" w:id="0">
    <w:p w:rsidR="00CE5644" w:rsidRDefault="00CE5644" w:rsidP="00A1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C:\Users\Embassy of Japan\Documents\sato\my documents\Οι εικόνες μου\square0207.gif" style="width:9.75pt;height:9.75pt;visibility:visible" o:bullet="t">
        <v:imagedata r:id="rId1" o:title="square0207"/>
      </v:shape>
    </w:pict>
  </w:numPicBullet>
  <w:abstractNum w:abstractNumId="0">
    <w:nsid w:val="27D0201B"/>
    <w:multiLevelType w:val="hybridMultilevel"/>
    <w:tmpl w:val="2C42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41240"/>
    <w:multiLevelType w:val="hybridMultilevel"/>
    <w:tmpl w:val="9F46B528"/>
    <w:lvl w:ilvl="0" w:tplc="39E2E5E4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D431A2"/>
    <w:multiLevelType w:val="hybridMultilevel"/>
    <w:tmpl w:val="A036B5C8"/>
    <w:lvl w:ilvl="0" w:tplc="35BAA9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EDD089B"/>
    <w:multiLevelType w:val="hybridMultilevel"/>
    <w:tmpl w:val="B3148596"/>
    <w:lvl w:ilvl="0" w:tplc="4F1E82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E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24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028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4F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4C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A3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4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4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3D33D13"/>
    <w:multiLevelType w:val="hybridMultilevel"/>
    <w:tmpl w:val="2BF84A90"/>
    <w:lvl w:ilvl="0" w:tplc="ADE48B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4B48"/>
    <w:multiLevelType w:val="hybridMultilevel"/>
    <w:tmpl w:val="F2C867E2"/>
    <w:lvl w:ilvl="0" w:tplc="19A091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F3"/>
    <w:rsid w:val="00014067"/>
    <w:rsid w:val="00017728"/>
    <w:rsid w:val="000403EA"/>
    <w:rsid w:val="00043BC4"/>
    <w:rsid w:val="00052B54"/>
    <w:rsid w:val="000769AB"/>
    <w:rsid w:val="00081FBE"/>
    <w:rsid w:val="000A2DE3"/>
    <w:rsid w:val="000A345D"/>
    <w:rsid w:val="000E59F7"/>
    <w:rsid w:val="000E5A4A"/>
    <w:rsid w:val="00123A3D"/>
    <w:rsid w:val="001312CE"/>
    <w:rsid w:val="001B3263"/>
    <w:rsid w:val="001B7D8A"/>
    <w:rsid w:val="001D762E"/>
    <w:rsid w:val="001F1D2A"/>
    <w:rsid w:val="00226C79"/>
    <w:rsid w:val="00237FFC"/>
    <w:rsid w:val="002672DB"/>
    <w:rsid w:val="00281DA7"/>
    <w:rsid w:val="002876E7"/>
    <w:rsid w:val="002C27B0"/>
    <w:rsid w:val="002C3A19"/>
    <w:rsid w:val="002D04B0"/>
    <w:rsid w:val="002E662A"/>
    <w:rsid w:val="002F642C"/>
    <w:rsid w:val="00321FBD"/>
    <w:rsid w:val="0035250B"/>
    <w:rsid w:val="00356D40"/>
    <w:rsid w:val="00366A78"/>
    <w:rsid w:val="003713E2"/>
    <w:rsid w:val="00386284"/>
    <w:rsid w:val="003A607A"/>
    <w:rsid w:val="003C1EF3"/>
    <w:rsid w:val="003C4753"/>
    <w:rsid w:val="00420280"/>
    <w:rsid w:val="0042076A"/>
    <w:rsid w:val="00497DC6"/>
    <w:rsid w:val="004A5351"/>
    <w:rsid w:val="004D27B5"/>
    <w:rsid w:val="004F0DEE"/>
    <w:rsid w:val="00515ABE"/>
    <w:rsid w:val="00520109"/>
    <w:rsid w:val="00537A09"/>
    <w:rsid w:val="00557893"/>
    <w:rsid w:val="00572A45"/>
    <w:rsid w:val="005779A0"/>
    <w:rsid w:val="005A1619"/>
    <w:rsid w:val="005B63E5"/>
    <w:rsid w:val="005D1BD5"/>
    <w:rsid w:val="005D75CE"/>
    <w:rsid w:val="005E4AE0"/>
    <w:rsid w:val="005E71CD"/>
    <w:rsid w:val="006445A5"/>
    <w:rsid w:val="00650AA3"/>
    <w:rsid w:val="00651017"/>
    <w:rsid w:val="006556EC"/>
    <w:rsid w:val="006564A8"/>
    <w:rsid w:val="0067183D"/>
    <w:rsid w:val="00687172"/>
    <w:rsid w:val="006A38B6"/>
    <w:rsid w:val="006B2C7F"/>
    <w:rsid w:val="006B6F4F"/>
    <w:rsid w:val="006C042E"/>
    <w:rsid w:val="006D54AA"/>
    <w:rsid w:val="00721380"/>
    <w:rsid w:val="00726E5B"/>
    <w:rsid w:val="00744EA1"/>
    <w:rsid w:val="007519A2"/>
    <w:rsid w:val="00755E0F"/>
    <w:rsid w:val="00766153"/>
    <w:rsid w:val="00775EE6"/>
    <w:rsid w:val="00791D48"/>
    <w:rsid w:val="007A0A27"/>
    <w:rsid w:val="007B7229"/>
    <w:rsid w:val="007B7E0E"/>
    <w:rsid w:val="00806716"/>
    <w:rsid w:val="00807E27"/>
    <w:rsid w:val="0082078F"/>
    <w:rsid w:val="008212A7"/>
    <w:rsid w:val="0082759B"/>
    <w:rsid w:val="00833004"/>
    <w:rsid w:val="008346D1"/>
    <w:rsid w:val="00841BD2"/>
    <w:rsid w:val="0084682B"/>
    <w:rsid w:val="00847024"/>
    <w:rsid w:val="00850F29"/>
    <w:rsid w:val="00854556"/>
    <w:rsid w:val="00867B4E"/>
    <w:rsid w:val="00871308"/>
    <w:rsid w:val="00892696"/>
    <w:rsid w:val="008F5417"/>
    <w:rsid w:val="009109E5"/>
    <w:rsid w:val="00914A3E"/>
    <w:rsid w:val="00917642"/>
    <w:rsid w:val="00920C3D"/>
    <w:rsid w:val="00960BC3"/>
    <w:rsid w:val="00966FB8"/>
    <w:rsid w:val="0097342B"/>
    <w:rsid w:val="00981310"/>
    <w:rsid w:val="00996836"/>
    <w:rsid w:val="009A59CF"/>
    <w:rsid w:val="009B5053"/>
    <w:rsid w:val="009F6B82"/>
    <w:rsid w:val="00A1045C"/>
    <w:rsid w:val="00A13795"/>
    <w:rsid w:val="00A174D9"/>
    <w:rsid w:val="00A43978"/>
    <w:rsid w:val="00A7193A"/>
    <w:rsid w:val="00A804DA"/>
    <w:rsid w:val="00AB1E44"/>
    <w:rsid w:val="00AC0322"/>
    <w:rsid w:val="00AC55DE"/>
    <w:rsid w:val="00AD4123"/>
    <w:rsid w:val="00AE11ED"/>
    <w:rsid w:val="00AE610D"/>
    <w:rsid w:val="00B042D7"/>
    <w:rsid w:val="00B17AAA"/>
    <w:rsid w:val="00B25270"/>
    <w:rsid w:val="00B464CA"/>
    <w:rsid w:val="00B95584"/>
    <w:rsid w:val="00BA4338"/>
    <w:rsid w:val="00BC014C"/>
    <w:rsid w:val="00BD1A84"/>
    <w:rsid w:val="00C06265"/>
    <w:rsid w:val="00C54D69"/>
    <w:rsid w:val="00C76320"/>
    <w:rsid w:val="00CC01BA"/>
    <w:rsid w:val="00CE5644"/>
    <w:rsid w:val="00D4116D"/>
    <w:rsid w:val="00D71CFA"/>
    <w:rsid w:val="00DF378E"/>
    <w:rsid w:val="00DF3DDA"/>
    <w:rsid w:val="00E27481"/>
    <w:rsid w:val="00E31B09"/>
    <w:rsid w:val="00E33CF0"/>
    <w:rsid w:val="00E51762"/>
    <w:rsid w:val="00E65A30"/>
    <w:rsid w:val="00E77CC1"/>
    <w:rsid w:val="00E8300A"/>
    <w:rsid w:val="00E86EDC"/>
    <w:rsid w:val="00F028C0"/>
    <w:rsid w:val="00F07476"/>
    <w:rsid w:val="00F33A3F"/>
    <w:rsid w:val="00F532A1"/>
    <w:rsid w:val="00FA3EEB"/>
    <w:rsid w:val="00FC0869"/>
    <w:rsid w:val="00FC7B95"/>
    <w:rsid w:val="00FE456D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intext3">
    <w:name w:val="main_text3"/>
    <w:basedOn w:val="DefaultParagraphFont"/>
    <w:rsid w:val="00B25270"/>
    <w:rPr>
      <w:rFonts w:ascii="Verdana" w:hAnsi="Verdana" w:hint="default"/>
      <w:b w:val="0"/>
      <w:b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intext3">
    <w:name w:val="main_text3"/>
    <w:basedOn w:val="DefaultParagraphFont"/>
    <w:rsid w:val="00B25270"/>
    <w:rPr>
      <w:rFonts w:ascii="Verdana" w:hAnsi="Verdana" w:hint="default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ultural@at.mofa.go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7F2FB-3EE7-44F0-9FA3-1FFA605E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SATO KEIKO</cp:lastModifiedBy>
  <cp:revision>2</cp:revision>
  <cp:lastPrinted>2015-04-17T07:15:00Z</cp:lastPrinted>
  <dcterms:created xsi:type="dcterms:W3CDTF">2018-04-26T08:26:00Z</dcterms:created>
  <dcterms:modified xsi:type="dcterms:W3CDTF">2018-04-26T08:26:00Z</dcterms:modified>
</cp:coreProperties>
</file>