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668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textAlignment w:val="baseline"/>
        <w:rPr>
          <w:rFonts w:hint="default" w:ascii="Arial" w:hAnsi="Arial" w:eastAsia="Arial" w:cs="Arial"/>
          <w:b/>
          <w:bCs/>
          <w:i w:val="0"/>
          <w:iCs w:val="0"/>
          <w:caps w:val="0"/>
          <w:color w:val="000000"/>
          <w:spacing w:val="0"/>
          <w:sz w:val="32"/>
          <w:szCs w:val="32"/>
          <w:u w:val="single"/>
        </w:rPr>
      </w:pPr>
      <w:r>
        <w:rPr>
          <w:rFonts w:hint="default" w:ascii="Arial" w:hAnsi="Arial" w:cs="Arial"/>
          <w:b/>
          <w:bCs/>
          <w:i w:val="0"/>
          <w:iCs w:val="0"/>
          <w:caps w:val="0"/>
          <w:color w:val="000000"/>
          <w:spacing w:val="0"/>
          <w:sz w:val="32"/>
          <w:szCs w:val="32"/>
          <w:u w:val="single"/>
          <w:vertAlign w:val="baseline"/>
        </w:rPr>
        <w:t>Taiwan Scholarship is now open for application until April 30, 2025</w:t>
      </w:r>
      <w:bookmarkStart w:id="0" w:name="_GoBack"/>
      <w:bookmarkEnd w:id="0"/>
      <w:r>
        <w:rPr>
          <w:rFonts w:hint="default" w:ascii="Arial" w:hAnsi="Arial" w:eastAsia="Arial" w:cs="Arial"/>
          <w:b/>
          <w:bCs/>
          <w:i w:val="0"/>
          <w:iCs w:val="0"/>
          <w:caps w:val="0"/>
          <w:color w:val="017977"/>
          <w:spacing w:val="0"/>
          <w:kern w:val="0"/>
          <w:sz w:val="32"/>
          <w:szCs w:val="32"/>
          <w:u w:val="single"/>
          <w:vertAlign w:val="baseline"/>
          <w:lang w:val="en-US" w:eastAsia="zh-CN" w:bidi="ar"/>
        </w:rPr>
        <w:fldChar w:fldCharType="begin"/>
      </w:r>
      <w:r>
        <w:rPr>
          <w:rFonts w:hint="default" w:ascii="Arial" w:hAnsi="Arial" w:eastAsia="Arial" w:cs="Arial"/>
          <w:b/>
          <w:bCs/>
          <w:i w:val="0"/>
          <w:iCs w:val="0"/>
          <w:caps w:val="0"/>
          <w:color w:val="017977"/>
          <w:spacing w:val="0"/>
          <w:kern w:val="0"/>
          <w:sz w:val="32"/>
          <w:szCs w:val="32"/>
          <w:u w:val="single"/>
          <w:vertAlign w:val="baseline"/>
          <w:lang w:val="en-US" w:eastAsia="zh-CN" w:bidi="ar"/>
        </w:rPr>
        <w:instrText xml:space="preserve"> HYPERLINK "https://www.roc-taiwan.org/gr_en/post/2526.html" </w:instrText>
      </w:r>
      <w:r>
        <w:rPr>
          <w:rFonts w:hint="default" w:ascii="Arial" w:hAnsi="Arial" w:eastAsia="Arial" w:cs="Arial"/>
          <w:b/>
          <w:bCs/>
          <w:i w:val="0"/>
          <w:iCs w:val="0"/>
          <w:caps w:val="0"/>
          <w:color w:val="017977"/>
          <w:spacing w:val="0"/>
          <w:kern w:val="0"/>
          <w:sz w:val="32"/>
          <w:szCs w:val="32"/>
          <w:u w:val="single"/>
          <w:vertAlign w:val="baseline"/>
          <w:lang w:val="en-US" w:eastAsia="zh-CN" w:bidi="ar"/>
        </w:rPr>
        <w:fldChar w:fldCharType="separate"/>
      </w:r>
      <w:r>
        <w:rPr>
          <w:rFonts w:hint="default" w:ascii="Arial" w:hAnsi="Arial" w:eastAsia="Arial" w:cs="Arial"/>
          <w:b/>
          <w:bCs/>
          <w:i w:val="0"/>
          <w:iCs w:val="0"/>
          <w:caps w:val="0"/>
          <w:color w:val="017977"/>
          <w:spacing w:val="0"/>
          <w:kern w:val="0"/>
          <w:sz w:val="32"/>
          <w:szCs w:val="32"/>
          <w:u w:val="single"/>
          <w:vertAlign w:val="baseline"/>
          <w:lang w:val="en-US" w:eastAsia="zh-CN" w:bidi="ar"/>
        </w:rPr>
        <w:fldChar w:fldCharType="end"/>
      </w:r>
      <w:r>
        <w:rPr>
          <w:rFonts w:hint="default" w:ascii="Arial" w:hAnsi="Arial" w:eastAsia="Arial" w:cs="Arial"/>
          <w:b/>
          <w:bCs/>
          <w:i w:val="0"/>
          <w:iCs w:val="0"/>
          <w:caps w:val="0"/>
          <w:color w:val="017977"/>
          <w:spacing w:val="0"/>
          <w:kern w:val="0"/>
          <w:sz w:val="32"/>
          <w:szCs w:val="32"/>
          <w:u w:val="single"/>
          <w:vertAlign w:val="baseline"/>
          <w:lang w:val="en-US" w:eastAsia="zh-CN" w:bidi="ar"/>
        </w:rPr>
        <w:fldChar w:fldCharType="begin"/>
      </w:r>
      <w:r>
        <w:rPr>
          <w:rFonts w:hint="default" w:ascii="Arial" w:hAnsi="Arial" w:eastAsia="Arial" w:cs="Arial"/>
          <w:b/>
          <w:bCs/>
          <w:i w:val="0"/>
          <w:iCs w:val="0"/>
          <w:caps w:val="0"/>
          <w:color w:val="017977"/>
          <w:spacing w:val="0"/>
          <w:kern w:val="0"/>
          <w:sz w:val="32"/>
          <w:szCs w:val="32"/>
          <w:u w:val="single"/>
          <w:vertAlign w:val="baseline"/>
          <w:lang w:val="en-US" w:eastAsia="zh-CN" w:bidi="ar"/>
        </w:rPr>
        <w:instrText xml:space="preserve"> HYPERLINK "https://www.roc-taiwan.org/gr_en/post/2526.html" </w:instrText>
      </w:r>
      <w:r>
        <w:rPr>
          <w:rFonts w:hint="default" w:ascii="Arial" w:hAnsi="Arial" w:eastAsia="Arial" w:cs="Arial"/>
          <w:b/>
          <w:bCs/>
          <w:i w:val="0"/>
          <w:iCs w:val="0"/>
          <w:caps w:val="0"/>
          <w:color w:val="017977"/>
          <w:spacing w:val="0"/>
          <w:kern w:val="0"/>
          <w:sz w:val="32"/>
          <w:szCs w:val="32"/>
          <w:u w:val="single"/>
          <w:vertAlign w:val="baseline"/>
          <w:lang w:val="en-US" w:eastAsia="zh-CN" w:bidi="ar"/>
        </w:rPr>
        <w:fldChar w:fldCharType="separate"/>
      </w:r>
      <w:r>
        <w:rPr>
          <w:rFonts w:hint="default" w:ascii="Arial" w:hAnsi="Arial" w:eastAsia="Arial" w:cs="Arial"/>
          <w:b/>
          <w:bCs/>
          <w:i w:val="0"/>
          <w:iCs w:val="0"/>
          <w:caps w:val="0"/>
          <w:color w:val="017977"/>
          <w:spacing w:val="0"/>
          <w:kern w:val="0"/>
          <w:sz w:val="32"/>
          <w:szCs w:val="32"/>
          <w:u w:val="single"/>
          <w:vertAlign w:val="baseline"/>
          <w:lang w:val="en-US" w:eastAsia="zh-CN" w:bidi="ar"/>
        </w:rPr>
        <w:fldChar w:fldCharType="end"/>
      </w:r>
      <w:r>
        <w:rPr>
          <w:rFonts w:hint="default" w:ascii="Arial" w:hAnsi="Arial" w:eastAsia="Arial" w:cs="Arial"/>
          <w:b/>
          <w:bCs/>
          <w:i w:val="0"/>
          <w:iCs w:val="0"/>
          <w:caps w:val="0"/>
          <w:color w:val="017977"/>
          <w:spacing w:val="0"/>
          <w:kern w:val="0"/>
          <w:sz w:val="32"/>
          <w:szCs w:val="32"/>
          <w:u w:val="single"/>
          <w:vertAlign w:val="baseline"/>
          <w:lang w:val="en-US" w:eastAsia="zh-CN" w:bidi="ar"/>
        </w:rPr>
        <w:fldChar w:fldCharType="begin"/>
      </w:r>
      <w:r>
        <w:rPr>
          <w:rFonts w:hint="default" w:ascii="Arial" w:hAnsi="Arial" w:eastAsia="Arial" w:cs="Arial"/>
          <w:b/>
          <w:bCs/>
          <w:i w:val="0"/>
          <w:iCs w:val="0"/>
          <w:caps w:val="0"/>
          <w:color w:val="017977"/>
          <w:spacing w:val="0"/>
          <w:kern w:val="0"/>
          <w:sz w:val="32"/>
          <w:szCs w:val="32"/>
          <w:u w:val="single"/>
          <w:vertAlign w:val="baseline"/>
          <w:lang w:val="en-US" w:eastAsia="zh-CN" w:bidi="ar"/>
        </w:rPr>
        <w:instrText xml:space="preserve"> HYPERLINK "https://www.roc-taiwan.org/gr_en/post/2526.html" </w:instrText>
      </w:r>
      <w:r>
        <w:rPr>
          <w:rFonts w:hint="default" w:ascii="Arial" w:hAnsi="Arial" w:eastAsia="Arial" w:cs="Arial"/>
          <w:b/>
          <w:bCs/>
          <w:i w:val="0"/>
          <w:iCs w:val="0"/>
          <w:caps w:val="0"/>
          <w:color w:val="017977"/>
          <w:spacing w:val="0"/>
          <w:kern w:val="0"/>
          <w:sz w:val="32"/>
          <w:szCs w:val="32"/>
          <w:u w:val="single"/>
          <w:vertAlign w:val="baseline"/>
          <w:lang w:val="en-US" w:eastAsia="zh-CN" w:bidi="ar"/>
        </w:rPr>
        <w:fldChar w:fldCharType="separate"/>
      </w:r>
      <w:r>
        <w:rPr>
          <w:rFonts w:hint="default" w:ascii="Arial" w:hAnsi="Arial" w:eastAsia="Arial" w:cs="Arial"/>
          <w:b/>
          <w:bCs/>
          <w:i w:val="0"/>
          <w:iCs w:val="0"/>
          <w:caps w:val="0"/>
          <w:color w:val="017977"/>
          <w:spacing w:val="0"/>
          <w:kern w:val="0"/>
          <w:sz w:val="32"/>
          <w:szCs w:val="32"/>
          <w:u w:val="single"/>
          <w:vertAlign w:val="baseline"/>
          <w:lang w:val="en-US" w:eastAsia="zh-CN" w:bidi="ar"/>
        </w:rPr>
        <w:fldChar w:fldCharType="end"/>
      </w:r>
    </w:p>
    <w:p w14:paraId="78B83F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Arial" w:hAnsi="Arial" w:eastAsia="Arial" w:cs="Arial"/>
          <w:b/>
          <w:bCs/>
          <w:i w:val="0"/>
          <w:iCs w:val="0"/>
          <w:caps w:val="0"/>
          <w:color w:val="000000"/>
          <w:spacing w:val="0"/>
          <w:sz w:val="32"/>
          <w:szCs w:val="32"/>
          <w:u w:val="single"/>
        </w:rPr>
      </w:pPr>
      <w:r>
        <w:rPr>
          <w:rFonts w:hint="default" w:ascii="Arial" w:hAnsi="Arial" w:eastAsia="Arial" w:cs="Arial"/>
          <w:b/>
          <w:bCs/>
          <w:i w:val="0"/>
          <w:iCs w:val="0"/>
          <w:caps w:val="0"/>
          <w:color w:val="017977"/>
          <w:spacing w:val="0"/>
          <w:kern w:val="0"/>
          <w:sz w:val="32"/>
          <w:szCs w:val="32"/>
          <w:u w:val="single"/>
          <w:vertAlign w:val="baseline"/>
          <w:lang w:val="en-US" w:eastAsia="zh-CN" w:bidi="ar"/>
        </w:rPr>
        <w:fldChar w:fldCharType="begin"/>
      </w:r>
      <w:r>
        <w:rPr>
          <w:rFonts w:hint="default" w:ascii="Arial" w:hAnsi="Arial" w:eastAsia="Arial" w:cs="Arial"/>
          <w:b/>
          <w:bCs/>
          <w:i w:val="0"/>
          <w:iCs w:val="0"/>
          <w:caps w:val="0"/>
          <w:color w:val="017977"/>
          <w:spacing w:val="0"/>
          <w:kern w:val="0"/>
          <w:sz w:val="32"/>
          <w:szCs w:val="32"/>
          <w:u w:val="single"/>
          <w:vertAlign w:val="baseline"/>
          <w:lang w:val="en-US" w:eastAsia="zh-CN" w:bidi="ar"/>
        </w:rPr>
        <w:instrText xml:space="preserve"> HYPERLINK "https://www.roc-taiwan.org/gr_en/post/2526.html" </w:instrText>
      </w:r>
      <w:r>
        <w:rPr>
          <w:rFonts w:hint="default" w:ascii="Arial" w:hAnsi="Arial" w:eastAsia="Arial" w:cs="Arial"/>
          <w:b/>
          <w:bCs/>
          <w:i w:val="0"/>
          <w:iCs w:val="0"/>
          <w:caps w:val="0"/>
          <w:color w:val="017977"/>
          <w:spacing w:val="0"/>
          <w:kern w:val="0"/>
          <w:sz w:val="32"/>
          <w:szCs w:val="32"/>
          <w:u w:val="single"/>
          <w:vertAlign w:val="baseline"/>
          <w:lang w:val="en-US" w:eastAsia="zh-CN" w:bidi="ar"/>
        </w:rPr>
        <w:fldChar w:fldCharType="separate"/>
      </w:r>
      <w:r>
        <w:rPr>
          <w:rFonts w:hint="default" w:ascii="Arial" w:hAnsi="Arial" w:eastAsia="Arial" w:cs="Arial"/>
          <w:b/>
          <w:bCs/>
          <w:i w:val="0"/>
          <w:iCs w:val="0"/>
          <w:caps w:val="0"/>
          <w:color w:val="017977"/>
          <w:spacing w:val="0"/>
          <w:kern w:val="0"/>
          <w:sz w:val="32"/>
          <w:szCs w:val="32"/>
          <w:u w:val="single"/>
          <w:vertAlign w:val="baseline"/>
          <w:lang w:val="en-US" w:eastAsia="zh-CN" w:bidi="ar"/>
        </w:rPr>
        <w:fldChar w:fldCharType="end"/>
      </w:r>
    </w:p>
    <w:p w14:paraId="649D96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2025 Taiwan Scholarship</w:t>
      </w:r>
    </w:p>
    <w:p w14:paraId="7AC20A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Taiwan Scholarship is executed in accordance with the “Taiwan Scholarship Program Guidelines” of the Ministry of Education (MOE) of the Republic of China (Taiwan) to encourage international students (excluding students from Mainland China, Hong Kong and Macau) to undertake degree studies in Taiwan.</w:t>
      </w:r>
    </w:p>
    <w:p w14:paraId="2F5304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The MOE awards outstanding international students the Scholarship to undertake both undergraduate and postgraduate studies in Taiwan. Applicants from Greece, Bulgaria and Cyprus should submit their application documents to the Taipei representative office in Greece.</w:t>
      </w:r>
    </w:p>
    <w:p w14:paraId="17BF34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The MOE Taiwan Scholarship Program provides the following for each scholarship recipient:</w:t>
      </w:r>
    </w:p>
    <w:p w14:paraId="509DF8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(1) Tuition and miscellaneous expenses (i.e. the course-credit fees, and miscellaneous basic study-related fees): The MOE will pay up to NTD 40,000 each semester for each recipient’s approved tuition and miscellaneous expenses. If these exceed a total amount of NTD40,000, the remaining amount must be paid to the university/college by the student. The “miscellaneous expenses” do not include any of the following: administration fees, thesis supervision fees, insurance premiums, accommodation, or internet access. These are all the responsibility of the scholarship recipient.</w:t>
      </w:r>
    </w:p>
    <w:p w14:paraId="083045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(2) Living allowance: The MOE provides each recipient undertaking university undergraduate studies a monthly stipend of NTD15,000; it provides each recipient undertaking a master’s degree or doctorate studies a monthly stipend of NTD20,000.</w:t>
      </w:r>
    </w:p>
    <w:p w14:paraId="6DCBFD0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Duration of Scholarships:</w:t>
      </w:r>
    </w:p>
    <w:p w14:paraId="5ED94F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The maximum period of each scholarship is four years for undergraduate programs, two years for master’s programs, and four years for doctorate programs. The maximum length of the total awards for each recipient undertaking a combination of studies is five years.</w:t>
      </w:r>
    </w:p>
    <w:p w14:paraId="1A00D5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Annual award periods begin on September 1st, 2025 and continue until August 31st, 2026. Recipients must arrive in Taiwan and enroll at their admitting universities / colleges within this period unless delays have been approved by the relevant institutions and the MOE. If recipients fail to arrive in Taiwan for registration during this period, their award will be revoked with no deferrals.</w:t>
      </w:r>
    </w:p>
    <w:p w14:paraId="0B05F0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Subsistence allowances begin from the month of the recipients’ registration at the universities / colleges and end when the award period expires or upon the recipients’ graduation, withdrawal, suspension, expulsion, or revocation of the scholarship.</w:t>
      </w:r>
    </w:p>
    <w:p w14:paraId="3963A3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Eligibility:</w:t>
      </w:r>
    </w:p>
    <w:p w14:paraId="66D95B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Applicants must be Greek, Bulgarian or Cypriot citizens with an excellent academic record, and be of good moral characters.</w:t>
      </w:r>
    </w:p>
    <w:p w14:paraId="6CF998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Applicants are ineligible if they meet the following criteria:</w:t>
      </w:r>
    </w:p>
    <w:p w14:paraId="4AE11E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Are R.O.C. nationals or overseas Chinese students.</w:t>
      </w:r>
    </w:p>
    <w:p w14:paraId="23D8BC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Are already registered or have obtained student status at any university / college in Taiwan. Graduating students pursuing further studies are exempt from this rule.</w:t>
      </w:r>
    </w:p>
    <w:p w14:paraId="40646F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Have already studied in Taiwan for the same level of degree as the one in which they currently intend to enroll.</w:t>
      </w:r>
    </w:p>
    <w:p w14:paraId="0EC062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Are exchange students or dual / joint degree students admitted in accordance with academic cooperation agreements between local universities / colleges and international universities /colleges.</w:t>
      </w:r>
    </w:p>
    <w:p w14:paraId="3F14CB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Have been a recipient of the Taiwan Scholarship for over a total of five years.</w:t>
      </w:r>
    </w:p>
    <w:p w14:paraId="479E8E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Have had, in the past, their Taiwan Scholarship or Huayu Enrichment Scholarship revoked by the MOE.</w:t>
      </w:r>
    </w:p>
    <w:p w14:paraId="33C034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Are recipients of any other scholarship or subsidy offered by the Taiwan government or education institutions in Taiwan. This excludes subsidies offered by universities / colleges to cover tuition and other fees exceeding the scholarship limit.</w:t>
      </w:r>
    </w:p>
    <w:p w14:paraId="7F94D9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Applicants should send the following documents by April 30, 2025 (postmarked) to the Taipei Representative Office in Greece. Failure to include any of these documents renders the application incomplete, and the applicant will not be further considered for the scholarship, without further notice.</w:t>
      </w:r>
    </w:p>
    <w:p w14:paraId="02D3DA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Documents required for the 2025 Taiwan Scholarship Application:</w:t>
      </w:r>
    </w:p>
    <w:p w14:paraId="175347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(1)Application form.</w:t>
      </w:r>
    </w:p>
    <w:p w14:paraId="5B920F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(2)A copy of the applicant’s passport or other nationality certificates.</w:t>
      </w:r>
    </w:p>
    <w:p w14:paraId="26561B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(3)A copy of the highest degree and academic transcripts. If issued by international educational institutions, these documents must be authenticated by an overseas Representative Office or be sealed and delivered by the awarding institutions. Documents in a language other than Chinese or English must be translated into Chinese or English and the translated documents must be authenticated.</w:t>
      </w:r>
    </w:p>
    <w:p w14:paraId="42C679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(4)A copy of admission application materials to universities / colleges in Taiwan (e.g., copies of application fee remittance, application form, receipt of application from universities / colleges, e-mails).</w:t>
      </w:r>
    </w:p>
    <w:p w14:paraId="62C1B3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(5)Two letters of reference signed and sealed in envelopes (i.e. from the rectors, professors, or supervisors). Photocopy and email submissions of letters of recommendation will not be considered.</w:t>
      </w:r>
    </w:p>
    <w:p w14:paraId="487910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(6) A copy of a language proficiency certificate. The individual representative office shall comply with the following provisions:</w:t>
      </w:r>
    </w:p>
    <w:p w14:paraId="540D53C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75" w:afterAutospacing="0" w:line="210" w:lineRule="atLeast"/>
        <w:ind w:left="0" w:right="0" w:hanging="360"/>
        <w:textAlignment w:val="baseline"/>
      </w:pPr>
      <w:r>
        <w:rPr>
          <w:rFonts w:hint="default" w:ascii="Arial" w:hAnsi="Arial" w:eastAsia="Arial" w:cs="Arial"/>
          <w:i w:val="0"/>
          <w:iCs w:val="0"/>
          <w:caps w:val="0"/>
          <w:color w:val="000000"/>
          <w:spacing w:val="0"/>
          <w:sz w:val="24"/>
          <w:szCs w:val="24"/>
          <w:vertAlign w:val="baseline"/>
        </w:rPr>
        <w:t>For applications to not all-English programs:</w:t>
      </w:r>
    </w:p>
    <w:p w14:paraId="53193D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(a) If the Test of Chinese as a Foreign Language (TOCFL) has taken effect in the country, a copy of the test results or certificate of Level 3 or above shall be submitted. Other test results or documents shall not be accepted.</w:t>
      </w:r>
    </w:p>
    <w:p w14:paraId="07468D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(b) If the TOCFL has not taken effect in the country and if a copy of results or certificate of Level 3 or above is not submitted, the applicant shall apply for the TOCFL test at his/her own expense and submit the test results or certificate to the school by the end of the first semester after arriving Taiwan.</w:t>
      </w:r>
    </w:p>
    <w:p w14:paraId="24BB3F2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75" w:afterAutospacing="0" w:line="210" w:lineRule="atLeast"/>
        <w:ind w:left="0" w:right="0" w:hanging="360"/>
        <w:textAlignment w:val="baseline"/>
      </w:pPr>
      <w:r>
        <w:rPr>
          <w:rFonts w:hint="default" w:ascii="Arial" w:hAnsi="Arial" w:eastAsia="Arial" w:cs="Arial"/>
          <w:i w:val="0"/>
          <w:iCs w:val="0"/>
          <w:caps w:val="0"/>
          <w:color w:val="000000"/>
          <w:spacing w:val="0"/>
          <w:sz w:val="24"/>
          <w:szCs w:val="24"/>
          <w:vertAlign w:val="baseline"/>
        </w:rPr>
        <w:t>For applications to all-English programs, the test results or certificate may be exempted by submission of TOEFL test scores or other English language proficiency exam documents or an English program diploma (English-speaking nationals are exempt from this rule) recognized by the local government.</w:t>
      </w:r>
    </w:p>
    <w:p w14:paraId="5CC708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Selection Notice:</w:t>
      </w:r>
    </w:p>
    <w:p w14:paraId="4E27B5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A document review will be processed. Selected candidates will be invited for interview as a part of the application procedure. Anticipated date of interview is tentatively set in mid-May.</w:t>
      </w:r>
    </w:p>
    <w:p w14:paraId="3F28F27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The Taipei Representative Office in Greece will select successful candidates and alternate candidates. Alternate candidates will be placed on a waiting list. Candidates are to be notified by May 31, 2025 and announced on the official website.</w:t>
      </w:r>
    </w:p>
    <w:p w14:paraId="01D6E3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Candidate should submit a copy of their letter of admission to the Taipei Representative Office in Greece for verification by June 30, 2025. Failure to be admitted into a university/college will result in suspension from the Scholarship Program. Failure to submit documents within the specified time period will result in disqualification, and the candidates on the waiting list will be offered the scholarship instead.</w:t>
      </w:r>
    </w:p>
    <w:p w14:paraId="6F23D8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w:t>
      </w:r>
    </w:p>
    <w:p w14:paraId="57FDCD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For enquiries, please contact</w:t>
      </w:r>
    </w:p>
    <w:p w14:paraId="328DF8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w:t>
      </w:r>
    </w:p>
    <w:p w14:paraId="2CD0D4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Taipei Representative Office in Greece (Taiwan Scholarship)</w:t>
      </w:r>
    </w:p>
    <w:p w14:paraId="1C8D83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Address: 57, Marathonodromon Ave., 15452 Psychico, Athens, Greece</w:t>
      </w:r>
    </w:p>
    <w:p w14:paraId="52FE3C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Email: grc@mofa.gov.tw</w:t>
      </w:r>
    </w:p>
    <w:p w14:paraId="2360FB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Phone: +30 210 677 5121</w:t>
      </w:r>
    </w:p>
    <w:p w14:paraId="29BB7AAA"/>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4BC00"/>
    <w:multiLevelType w:val="multilevel"/>
    <w:tmpl w:val="9024BC0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abstractNum w:abstractNumId="1">
    <w:nsid w:val="35502C40"/>
    <w:multiLevelType w:val="multilevel"/>
    <w:tmpl w:val="35502C4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00"/>
        </w:tabs>
        <w:ind w:left="2880" w:hanging="360"/>
      </w:pPr>
      <w:rPr>
        <w:sz w:val="24"/>
        <w:szCs w:val="24"/>
      </w:rPr>
    </w:lvl>
    <w:lvl w:ilvl="4" w:tentative="0">
      <w:start w:val="1"/>
      <w:numFmt w:val="none"/>
      <w:lvlText w:val="%5."/>
      <w:lvlJc w:val="left"/>
      <w:pPr>
        <w:tabs>
          <w:tab w:val="left" w:pos="3220"/>
        </w:tabs>
        <w:ind w:left="3600" w:hanging="360"/>
      </w:pPr>
      <w:rPr>
        <w:sz w:val="24"/>
        <w:szCs w:val="24"/>
      </w:rPr>
    </w:lvl>
    <w:lvl w:ilvl="5" w:tentative="0">
      <w:start w:val="1"/>
      <w:numFmt w:val="none"/>
      <w:lvlText w:val="%6."/>
      <w:lvlJc w:val="left"/>
      <w:pPr>
        <w:tabs>
          <w:tab w:val="left" w:pos="3940"/>
        </w:tabs>
        <w:ind w:left="4320" w:hanging="360"/>
      </w:pPr>
      <w:rPr>
        <w:sz w:val="24"/>
        <w:szCs w:val="24"/>
      </w:rPr>
    </w:lvl>
    <w:lvl w:ilvl="6" w:tentative="0">
      <w:start w:val="1"/>
      <w:numFmt w:val="none"/>
      <w:lvlText w:val="%7."/>
      <w:lvlJc w:val="left"/>
      <w:pPr>
        <w:tabs>
          <w:tab w:val="left" w:pos="4660"/>
        </w:tabs>
        <w:ind w:left="5040" w:hanging="360"/>
      </w:pPr>
      <w:rPr>
        <w:sz w:val="24"/>
        <w:szCs w:val="24"/>
      </w:rPr>
    </w:lvl>
    <w:lvl w:ilvl="7" w:tentative="0">
      <w:start w:val="1"/>
      <w:numFmt w:val="none"/>
      <w:lvlText w:val="%8."/>
      <w:lvlJc w:val="left"/>
      <w:pPr>
        <w:tabs>
          <w:tab w:val="left" w:pos="5380"/>
        </w:tabs>
        <w:ind w:left="5760" w:hanging="360"/>
      </w:pPr>
      <w:rPr>
        <w:sz w:val="24"/>
        <w:szCs w:val="24"/>
      </w:rPr>
    </w:lvl>
    <w:lvl w:ilvl="8" w:tentative="0">
      <w:start w:val="1"/>
      <w:numFmt w:val="none"/>
      <w:lvlText w:val="%9."/>
      <w:lvlJc w:val="left"/>
      <w:pPr>
        <w:tabs>
          <w:tab w:val="left" w:pos="6100"/>
        </w:tabs>
        <w:ind w:left="6480" w:hanging="360"/>
      </w:pPr>
      <w:rPr>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D485F"/>
    <w:rsid w:val="2B146221"/>
    <w:rsid w:val="702D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2025-01-27T08:35:00Z</dcterms:created>
  <dc:creator>Valia Magoula</dc:creator>
  <cp:lastModifiedBy>Valia Magoula</cp:lastModifiedBy>
  <cp:lastPrinted>2025-01-31T11:37:26Z</cp:lastPrinted>
  <dcterms:modified xsi:type="dcterms:W3CDTF">2025-01-31T11:38:27Z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FB3EE6386CB8471E8A62AE89B588F315_11</vt:lpwstr>
  </property>
</Properties>
</file>